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3DFE6" w14:textId="0CB94C8F" w:rsidR="000C4BB4" w:rsidRPr="000C4BB4" w:rsidRDefault="000C4BB4" w:rsidP="000C4BB4">
      <w:pPr>
        <w:rPr>
          <w:b/>
          <w:sz w:val="22"/>
          <w:szCs w:val="22"/>
        </w:rPr>
      </w:pPr>
      <w:r w:rsidRPr="000C4BB4">
        <w:rPr>
          <w:b/>
          <w:bCs/>
          <w:sz w:val="22"/>
          <w:szCs w:val="22"/>
        </w:rPr>
        <w:t>Blewbury Parish Council</w:t>
      </w:r>
      <w:r w:rsidR="00D74429" w:rsidRPr="000C4BB4">
        <w:rPr>
          <w:b/>
          <w:bCs/>
          <w:sz w:val="22"/>
          <w:szCs w:val="22"/>
        </w:rPr>
        <w:t xml:space="preserve"> (BPC)</w:t>
      </w:r>
      <w:r w:rsidRPr="000C4BB4">
        <w:rPr>
          <w:b/>
          <w:sz w:val="22"/>
          <w:szCs w:val="22"/>
        </w:rPr>
        <w:t xml:space="preserve">: </w:t>
      </w:r>
      <w:r w:rsidR="00A024B8" w:rsidRPr="000C4BB4">
        <w:rPr>
          <w:b/>
          <w:sz w:val="22"/>
          <w:szCs w:val="22"/>
        </w:rPr>
        <w:t xml:space="preserve">Annual Planning Report, </w:t>
      </w:r>
      <w:r w:rsidR="00976A68">
        <w:rPr>
          <w:b/>
          <w:sz w:val="22"/>
          <w:szCs w:val="22"/>
        </w:rPr>
        <w:t>May</w:t>
      </w:r>
      <w:r w:rsidR="005772C1" w:rsidRPr="000C4BB4">
        <w:rPr>
          <w:b/>
          <w:sz w:val="22"/>
          <w:szCs w:val="22"/>
        </w:rPr>
        <w:t xml:space="preserve"> 20</w:t>
      </w:r>
      <w:r w:rsidR="00D039FF">
        <w:rPr>
          <w:b/>
          <w:sz w:val="22"/>
          <w:szCs w:val="22"/>
        </w:rPr>
        <w:t>2</w:t>
      </w:r>
      <w:r w:rsidR="00976A68">
        <w:rPr>
          <w:b/>
          <w:sz w:val="22"/>
          <w:szCs w:val="22"/>
        </w:rPr>
        <w:t>4</w:t>
      </w:r>
    </w:p>
    <w:p w14:paraId="15A08C15" w14:textId="77777777" w:rsidR="000C4BB4" w:rsidRPr="000C4BB4" w:rsidRDefault="000C4BB4" w:rsidP="000C4BB4">
      <w:pPr>
        <w:rPr>
          <w:sz w:val="22"/>
          <w:szCs w:val="22"/>
        </w:rPr>
      </w:pPr>
    </w:p>
    <w:p w14:paraId="49E6A1CB" w14:textId="17D84FD3" w:rsidR="00CA22D5" w:rsidRPr="000C4BB4" w:rsidRDefault="00CA22D5" w:rsidP="000C4BB4">
      <w:pPr>
        <w:rPr>
          <w:sz w:val="22"/>
          <w:szCs w:val="22"/>
          <w:u w:val="single"/>
        </w:rPr>
      </w:pPr>
      <w:r w:rsidRPr="000C4BB4">
        <w:rPr>
          <w:sz w:val="22"/>
          <w:szCs w:val="22"/>
          <w:u w:val="single"/>
        </w:rPr>
        <w:t>Planning in Blewbury</w:t>
      </w:r>
    </w:p>
    <w:p w14:paraId="4B2AACDD" w14:textId="77777777" w:rsidR="000C4BB4" w:rsidRPr="000C4BB4" w:rsidRDefault="000C4BB4" w:rsidP="000C4BB4">
      <w:pPr>
        <w:rPr>
          <w:sz w:val="22"/>
          <w:szCs w:val="22"/>
        </w:rPr>
      </w:pPr>
    </w:p>
    <w:p w14:paraId="32CAD272" w14:textId="4FA24330" w:rsidR="00AA7927" w:rsidRDefault="00D039FF" w:rsidP="000C4BB4">
      <w:pPr>
        <w:jc w:val="both"/>
        <w:rPr>
          <w:sz w:val="22"/>
          <w:szCs w:val="22"/>
        </w:rPr>
      </w:pPr>
      <w:r>
        <w:rPr>
          <w:sz w:val="22"/>
          <w:szCs w:val="22"/>
        </w:rPr>
        <w:t>There have been 2</w:t>
      </w:r>
      <w:r w:rsidR="00976A68">
        <w:rPr>
          <w:sz w:val="22"/>
          <w:szCs w:val="22"/>
        </w:rPr>
        <w:t>6</w:t>
      </w:r>
      <w:r w:rsidR="00B07720" w:rsidRPr="000C4BB4">
        <w:rPr>
          <w:sz w:val="22"/>
          <w:szCs w:val="22"/>
        </w:rPr>
        <w:t xml:space="preserve"> </w:t>
      </w:r>
      <w:r w:rsidR="005772C1" w:rsidRPr="000C4BB4">
        <w:rPr>
          <w:sz w:val="22"/>
          <w:szCs w:val="22"/>
        </w:rPr>
        <w:t xml:space="preserve">applications </w:t>
      </w:r>
      <w:r w:rsidR="0027246A" w:rsidRPr="000C4BB4">
        <w:rPr>
          <w:sz w:val="22"/>
          <w:szCs w:val="22"/>
        </w:rPr>
        <w:t>for planning permission or listed building consent</w:t>
      </w:r>
      <w:r w:rsidR="00756FDE" w:rsidRPr="000C4BB4">
        <w:rPr>
          <w:sz w:val="22"/>
          <w:szCs w:val="22"/>
        </w:rPr>
        <w:t xml:space="preserve"> since the last Annual</w:t>
      </w:r>
      <w:r>
        <w:rPr>
          <w:sz w:val="22"/>
          <w:szCs w:val="22"/>
        </w:rPr>
        <w:t xml:space="preserve"> Planning Report in April 202</w:t>
      </w:r>
      <w:r w:rsidR="00976A68">
        <w:rPr>
          <w:sz w:val="22"/>
          <w:szCs w:val="22"/>
        </w:rPr>
        <w:t>3</w:t>
      </w:r>
      <w:r>
        <w:rPr>
          <w:sz w:val="22"/>
          <w:szCs w:val="22"/>
        </w:rPr>
        <w:t xml:space="preserve"> (compared to </w:t>
      </w:r>
      <w:r w:rsidR="00976A68">
        <w:rPr>
          <w:sz w:val="22"/>
          <w:szCs w:val="22"/>
        </w:rPr>
        <w:t>28</w:t>
      </w:r>
      <w:r w:rsidR="0023788C" w:rsidRPr="000C4BB4">
        <w:rPr>
          <w:sz w:val="22"/>
          <w:szCs w:val="22"/>
        </w:rPr>
        <w:t xml:space="preserve"> applications </w:t>
      </w:r>
      <w:r w:rsidR="001836AC">
        <w:rPr>
          <w:sz w:val="22"/>
          <w:szCs w:val="22"/>
        </w:rPr>
        <w:t>in the previous year</w:t>
      </w:r>
      <w:r w:rsidR="0023788C" w:rsidRPr="000C4BB4">
        <w:rPr>
          <w:sz w:val="22"/>
          <w:szCs w:val="22"/>
        </w:rPr>
        <w:t>)</w:t>
      </w:r>
      <w:r w:rsidR="00B07720" w:rsidRPr="000C4BB4">
        <w:rPr>
          <w:sz w:val="22"/>
          <w:szCs w:val="22"/>
        </w:rPr>
        <w:t xml:space="preserve">. </w:t>
      </w:r>
      <w:r w:rsidR="00413F57">
        <w:rPr>
          <w:sz w:val="22"/>
          <w:szCs w:val="22"/>
        </w:rPr>
        <w:t>four</w:t>
      </w:r>
      <w:r w:rsidR="001836AC">
        <w:rPr>
          <w:sz w:val="22"/>
          <w:szCs w:val="22"/>
        </w:rPr>
        <w:t xml:space="preserve"> applications</w:t>
      </w:r>
      <w:r w:rsidR="0023788C" w:rsidRPr="000C4BB4">
        <w:rPr>
          <w:sz w:val="22"/>
          <w:szCs w:val="22"/>
        </w:rPr>
        <w:t xml:space="preserve"> are awaiting determ</w:t>
      </w:r>
      <w:r w:rsidR="00AA7927">
        <w:rPr>
          <w:sz w:val="22"/>
          <w:szCs w:val="22"/>
        </w:rPr>
        <w:t>ination by the local authority</w:t>
      </w:r>
      <w:r w:rsidR="00413F57">
        <w:rPr>
          <w:sz w:val="22"/>
          <w:szCs w:val="22"/>
        </w:rPr>
        <w:t xml:space="preserve">. All applications determined during the year were granted by the LPA, apart from one, which is now the subject of an appeal. </w:t>
      </w:r>
    </w:p>
    <w:p w14:paraId="3F366CB5" w14:textId="77777777" w:rsidR="000C4BB4" w:rsidRPr="000C4BB4" w:rsidRDefault="000C4BB4" w:rsidP="000C4BB4">
      <w:pPr>
        <w:rPr>
          <w:sz w:val="22"/>
          <w:szCs w:val="22"/>
        </w:rPr>
      </w:pPr>
    </w:p>
    <w:p w14:paraId="1EF31F6F" w14:textId="7DAFA5E8" w:rsidR="00D74429" w:rsidRPr="00CA22D5" w:rsidRDefault="00D74429" w:rsidP="00DF6BBE">
      <w:pPr>
        <w:spacing w:after="200"/>
        <w:jc w:val="both"/>
        <w:rPr>
          <w:rFonts w:cs="Gill Sans"/>
          <w:b/>
          <w:color w:val="000000"/>
          <w:sz w:val="22"/>
          <w:szCs w:val="22"/>
        </w:rPr>
      </w:pPr>
      <w:r w:rsidRPr="00CA22D5">
        <w:rPr>
          <w:rFonts w:cs="Gill Sans"/>
          <w:color w:val="000000"/>
          <w:sz w:val="22"/>
          <w:szCs w:val="22"/>
        </w:rPr>
        <w:t>BPC assesses planning appli</w:t>
      </w:r>
      <w:r w:rsidR="009C32DF">
        <w:rPr>
          <w:rFonts w:cs="Gill Sans"/>
          <w:color w:val="000000"/>
          <w:sz w:val="22"/>
          <w:szCs w:val="22"/>
        </w:rPr>
        <w:t>cations primarily by email. Contentious applications</w:t>
      </w:r>
      <w:r w:rsidRPr="00CA22D5">
        <w:rPr>
          <w:rFonts w:cs="Gill Sans"/>
          <w:color w:val="000000"/>
          <w:sz w:val="22"/>
          <w:szCs w:val="22"/>
        </w:rPr>
        <w:t xml:space="preserve"> are then discussed </w:t>
      </w:r>
      <w:r w:rsidR="009C32DF">
        <w:rPr>
          <w:rFonts w:cs="Gill Sans"/>
          <w:color w:val="000000"/>
          <w:sz w:val="22"/>
          <w:szCs w:val="22"/>
        </w:rPr>
        <w:t xml:space="preserve">and agreed </w:t>
      </w:r>
      <w:r w:rsidRPr="00CA22D5">
        <w:rPr>
          <w:rFonts w:cs="Gill Sans"/>
          <w:color w:val="000000"/>
          <w:sz w:val="22"/>
          <w:szCs w:val="22"/>
        </w:rPr>
        <w:t xml:space="preserve">at monthly council meetings. </w:t>
      </w:r>
      <w:r w:rsidR="009C32DF" w:rsidRPr="009C32DF">
        <w:rPr>
          <w:rFonts w:cs="Gill Sans"/>
          <w:color w:val="000000"/>
          <w:sz w:val="22"/>
          <w:szCs w:val="22"/>
          <w:u w:val="single"/>
        </w:rPr>
        <w:t xml:space="preserve">Note that </w:t>
      </w:r>
      <w:r w:rsidRPr="009C32DF">
        <w:rPr>
          <w:rFonts w:cs="Gill Sans"/>
          <w:color w:val="000000"/>
          <w:sz w:val="22"/>
          <w:szCs w:val="22"/>
          <w:u w:val="single"/>
        </w:rPr>
        <w:t>BPC</w:t>
      </w:r>
      <w:r w:rsidRPr="00CA22D5">
        <w:rPr>
          <w:rFonts w:cs="Gill Sans"/>
          <w:color w:val="000000"/>
          <w:sz w:val="22"/>
          <w:szCs w:val="22"/>
          <w:u w:val="single"/>
        </w:rPr>
        <w:t xml:space="preserve"> is only</w:t>
      </w:r>
      <w:r w:rsidR="009C32DF">
        <w:rPr>
          <w:rFonts w:cs="Gill Sans"/>
          <w:color w:val="000000"/>
          <w:sz w:val="22"/>
          <w:szCs w:val="22"/>
          <w:u w:val="single"/>
        </w:rPr>
        <w:t xml:space="preserve"> a consultee: we do not make planning</w:t>
      </w:r>
      <w:r w:rsidRPr="00CA22D5">
        <w:rPr>
          <w:rFonts w:cs="Gill Sans"/>
          <w:color w:val="000000"/>
          <w:sz w:val="22"/>
          <w:szCs w:val="22"/>
          <w:u w:val="single"/>
        </w:rPr>
        <w:t xml:space="preserve"> decisions.</w:t>
      </w:r>
      <w:r w:rsidRPr="00CA22D5">
        <w:rPr>
          <w:rFonts w:cs="Gill Sans"/>
          <w:color w:val="000000"/>
          <w:sz w:val="22"/>
          <w:szCs w:val="22"/>
        </w:rPr>
        <w:t xml:space="preserve"> </w:t>
      </w:r>
    </w:p>
    <w:p w14:paraId="7BB49567" w14:textId="0ACF366A" w:rsidR="00690C9E" w:rsidRPr="00CA22D5" w:rsidRDefault="00D74429" w:rsidP="00DF6BBE">
      <w:pPr>
        <w:jc w:val="both"/>
        <w:rPr>
          <w:sz w:val="22"/>
          <w:szCs w:val="22"/>
        </w:rPr>
      </w:pPr>
      <w:r w:rsidRPr="00CA22D5">
        <w:rPr>
          <w:rFonts w:cs="Gill Sans"/>
          <w:color w:val="000000"/>
          <w:sz w:val="22"/>
          <w:szCs w:val="22"/>
        </w:rPr>
        <w:t xml:space="preserve">BPC </w:t>
      </w:r>
      <w:r w:rsidR="005A07AD" w:rsidRPr="00CA22D5">
        <w:rPr>
          <w:rFonts w:cs="Gill Sans"/>
          <w:color w:val="000000"/>
          <w:sz w:val="22"/>
          <w:szCs w:val="22"/>
        </w:rPr>
        <w:t>scrutinise</w:t>
      </w:r>
      <w:r w:rsidRPr="00CA22D5">
        <w:rPr>
          <w:rFonts w:cs="Gill Sans"/>
          <w:color w:val="000000"/>
          <w:sz w:val="22"/>
          <w:szCs w:val="22"/>
        </w:rPr>
        <w:t>s</w:t>
      </w:r>
      <w:r w:rsidR="005A07AD" w:rsidRPr="00CA22D5">
        <w:rPr>
          <w:rFonts w:cs="Gill Sans"/>
          <w:color w:val="000000"/>
          <w:sz w:val="22"/>
          <w:szCs w:val="22"/>
        </w:rPr>
        <w:t xml:space="preserve"> applications on the basis of the policies in the village’s </w:t>
      </w:r>
      <w:r w:rsidR="00B07720" w:rsidRPr="00CA22D5">
        <w:rPr>
          <w:rFonts w:cs="Gill Sans"/>
          <w:color w:val="000000"/>
          <w:sz w:val="22"/>
          <w:szCs w:val="22"/>
        </w:rPr>
        <w:t>Neighbourhood Development Plan</w:t>
      </w:r>
      <w:r w:rsidR="00CA22D5" w:rsidRPr="00CA22D5">
        <w:rPr>
          <w:rFonts w:cs="Gill Sans"/>
          <w:color w:val="000000"/>
          <w:sz w:val="22"/>
          <w:szCs w:val="22"/>
        </w:rPr>
        <w:t xml:space="preserve"> (NDP)</w:t>
      </w:r>
      <w:r w:rsidR="005A07AD" w:rsidRPr="00CA22D5">
        <w:rPr>
          <w:rFonts w:cs="Gill Sans"/>
          <w:color w:val="000000"/>
          <w:sz w:val="22"/>
          <w:szCs w:val="22"/>
        </w:rPr>
        <w:t xml:space="preserve">, along with </w:t>
      </w:r>
      <w:r w:rsidR="00CA22D5" w:rsidRPr="00CA22D5">
        <w:rPr>
          <w:rFonts w:cs="Gill Sans"/>
          <w:color w:val="000000"/>
          <w:sz w:val="22"/>
          <w:szCs w:val="22"/>
        </w:rPr>
        <w:t>the Vale’s planning policies</w:t>
      </w:r>
      <w:r w:rsidR="005A07AD" w:rsidRPr="00CA22D5">
        <w:rPr>
          <w:rFonts w:cs="Gill Sans"/>
          <w:color w:val="000000"/>
          <w:sz w:val="22"/>
          <w:szCs w:val="22"/>
        </w:rPr>
        <w:t xml:space="preserve">. </w:t>
      </w:r>
      <w:r w:rsidR="00690C9E" w:rsidRPr="00CA22D5">
        <w:rPr>
          <w:sz w:val="22"/>
          <w:szCs w:val="22"/>
        </w:rPr>
        <w:t xml:space="preserve">If an application conforms to both the NDP and the Vale’s </w:t>
      </w:r>
      <w:r w:rsidR="00A63B1F" w:rsidRPr="00CA22D5">
        <w:rPr>
          <w:sz w:val="22"/>
          <w:szCs w:val="22"/>
        </w:rPr>
        <w:t xml:space="preserve">local plan </w:t>
      </w:r>
      <w:r w:rsidR="00690C9E" w:rsidRPr="00CA22D5">
        <w:rPr>
          <w:sz w:val="22"/>
          <w:szCs w:val="22"/>
        </w:rPr>
        <w:t>policies, ‘material considerations</w:t>
      </w:r>
      <w:r w:rsidR="00A63B1F" w:rsidRPr="00CA22D5">
        <w:rPr>
          <w:sz w:val="22"/>
          <w:szCs w:val="22"/>
        </w:rPr>
        <w:t>’ are</w:t>
      </w:r>
      <w:r w:rsidR="00690C9E" w:rsidRPr="00CA22D5">
        <w:rPr>
          <w:sz w:val="22"/>
          <w:szCs w:val="22"/>
        </w:rPr>
        <w:t xml:space="preserve"> the only other means</w:t>
      </w:r>
      <w:r w:rsidR="009C32DF">
        <w:rPr>
          <w:sz w:val="22"/>
          <w:szCs w:val="22"/>
        </w:rPr>
        <w:t xml:space="preserve"> we may</w:t>
      </w:r>
      <w:r w:rsidR="00690C9E" w:rsidRPr="00CA22D5">
        <w:rPr>
          <w:sz w:val="22"/>
          <w:szCs w:val="22"/>
        </w:rPr>
        <w:t xml:space="preserve"> use to object t</w:t>
      </w:r>
      <w:r w:rsidR="00A63B1F" w:rsidRPr="00CA22D5">
        <w:rPr>
          <w:sz w:val="22"/>
          <w:szCs w:val="22"/>
        </w:rPr>
        <w:t xml:space="preserve">o an application. </w:t>
      </w:r>
      <w:r w:rsidR="00690C9E" w:rsidRPr="00CA22D5">
        <w:rPr>
          <w:sz w:val="22"/>
          <w:szCs w:val="22"/>
        </w:rPr>
        <w:t xml:space="preserve">Planning law does not define material considerations – </w:t>
      </w:r>
      <w:r w:rsidR="00A63B1F" w:rsidRPr="00CA22D5">
        <w:rPr>
          <w:sz w:val="22"/>
          <w:szCs w:val="22"/>
        </w:rPr>
        <w:t xml:space="preserve">they are </w:t>
      </w:r>
      <w:r w:rsidR="00D166B0">
        <w:rPr>
          <w:sz w:val="22"/>
          <w:szCs w:val="22"/>
        </w:rPr>
        <w:t xml:space="preserve">derived from case law, but </w:t>
      </w:r>
      <w:r w:rsidR="00A63B1F" w:rsidRPr="00CA22D5">
        <w:rPr>
          <w:sz w:val="22"/>
          <w:szCs w:val="22"/>
        </w:rPr>
        <w:t xml:space="preserve">can </w:t>
      </w:r>
      <w:r w:rsidR="00690C9E" w:rsidRPr="00CA22D5">
        <w:rPr>
          <w:sz w:val="22"/>
          <w:szCs w:val="22"/>
        </w:rPr>
        <w:t>include:</w:t>
      </w:r>
    </w:p>
    <w:p w14:paraId="59D49244" w14:textId="77777777" w:rsidR="00690C9E" w:rsidRPr="00CA22D5" w:rsidRDefault="00690C9E" w:rsidP="00DF6BBE">
      <w:pPr>
        <w:pStyle w:val="ListParagraph"/>
        <w:numPr>
          <w:ilvl w:val="0"/>
          <w:numId w:val="12"/>
        </w:numPr>
        <w:jc w:val="both"/>
        <w:rPr>
          <w:sz w:val="22"/>
          <w:szCs w:val="22"/>
        </w:rPr>
      </w:pPr>
      <w:r w:rsidRPr="00CA22D5">
        <w:rPr>
          <w:sz w:val="22"/>
          <w:szCs w:val="22"/>
        </w:rPr>
        <w:t>Overlooking and loss of privacy</w:t>
      </w:r>
    </w:p>
    <w:p w14:paraId="4AFC32AA" w14:textId="77777777" w:rsidR="00690C9E" w:rsidRPr="00CA22D5" w:rsidRDefault="00690C9E" w:rsidP="00DF6BBE">
      <w:pPr>
        <w:pStyle w:val="ListParagraph"/>
        <w:numPr>
          <w:ilvl w:val="0"/>
          <w:numId w:val="12"/>
        </w:numPr>
        <w:jc w:val="both"/>
        <w:rPr>
          <w:sz w:val="22"/>
          <w:szCs w:val="22"/>
        </w:rPr>
      </w:pPr>
      <w:r w:rsidRPr="00CA22D5">
        <w:rPr>
          <w:sz w:val="22"/>
          <w:szCs w:val="22"/>
        </w:rPr>
        <w:t>Overshadowing and loss of light</w:t>
      </w:r>
    </w:p>
    <w:p w14:paraId="4830762E" w14:textId="39BC36CA" w:rsidR="00690C9E" w:rsidRPr="00CA22D5" w:rsidRDefault="00A63B1F" w:rsidP="00DF6BBE">
      <w:pPr>
        <w:pStyle w:val="ListParagraph"/>
        <w:numPr>
          <w:ilvl w:val="0"/>
          <w:numId w:val="12"/>
        </w:numPr>
        <w:jc w:val="both"/>
        <w:rPr>
          <w:sz w:val="22"/>
          <w:szCs w:val="22"/>
        </w:rPr>
      </w:pPr>
      <w:r w:rsidRPr="00CA22D5">
        <w:rPr>
          <w:sz w:val="22"/>
          <w:szCs w:val="22"/>
        </w:rPr>
        <w:t>Local circumstances (</w:t>
      </w:r>
      <w:r w:rsidR="00690C9E" w:rsidRPr="00CA22D5">
        <w:rPr>
          <w:sz w:val="22"/>
          <w:szCs w:val="22"/>
        </w:rPr>
        <w:t>local knowledge from the PC is key here</w:t>
      </w:r>
      <w:r w:rsidRPr="00CA22D5">
        <w:rPr>
          <w:sz w:val="22"/>
          <w:szCs w:val="22"/>
        </w:rPr>
        <w:t>)</w:t>
      </w:r>
    </w:p>
    <w:p w14:paraId="06329510" w14:textId="718E15EE" w:rsidR="00690C9E" w:rsidRPr="00CA22D5" w:rsidRDefault="00690C9E" w:rsidP="00DF6BBE">
      <w:pPr>
        <w:pStyle w:val="ListParagraph"/>
        <w:numPr>
          <w:ilvl w:val="0"/>
          <w:numId w:val="12"/>
        </w:numPr>
        <w:jc w:val="both"/>
        <w:rPr>
          <w:sz w:val="22"/>
          <w:szCs w:val="22"/>
        </w:rPr>
      </w:pPr>
      <w:r w:rsidRPr="00CA22D5">
        <w:rPr>
          <w:sz w:val="22"/>
          <w:szCs w:val="22"/>
        </w:rPr>
        <w:t>History of a site e</w:t>
      </w:r>
      <w:r w:rsidR="00A63B1F" w:rsidRPr="00CA22D5">
        <w:rPr>
          <w:sz w:val="22"/>
          <w:szCs w:val="22"/>
        </w:rPr>
        <w:t>.</w:t>
      </w:r>
      <w:r w:rsidRPr="00CA22D5">
        <w:rPr>
          <w:sz w:val="22"/>
          <w:szCs w:val="22"/>
        </w:rPr>
        <w:t>g</w:t>
      </w:r>
      <w:r w:rsidR="00A63B1F" w:rsidRPr="00CA22D5">
        <w:rPr>
          <w:sz w:val="22"/>
          <w:szCs w:val="22"/>
        </w:rPr>
        <w:t>.</w:t>
      </w:r>
      <w:r w:rsidRPr="00CA22D5">
        <w:rPr>
          <w:sz w:val="22"/>
          <w:szCs w:val="22"/>
        </w:rPr>
        <w:t xml:space="preserve"> if contaminated</w:t>
      </w:r>
    </w:p>
    <w:p w14:paraId="5D8D2BD3" w14:textId="77777777" w:rsidR="00690C9E" w:rsidRPr="00CA22D5" w:rsidRDefault="00690C9E" w:rsidP="00DF6BBE">
      <w:pPr>
        <w:pStyle w:val="ListParagraph"/>
        <w:numPr>
          <w:ilvl w:val="0"/>
          <w:numId w:val="12"/>
        </w:numPr>
        <w:jc w:val="both"/>
        <w:rPr>
          <w:sz w:val="22"/>
          <w:szCs w:val="22"/>
        </w:rPr>
      </w:pPr>
      <w:r w:rsidRPr="00CA22D5">
        <w:rPr>
          <w:sz w:val="22"/>
          <w:szCs w:val="22"/>
        </w:rPr>
        <w:t>Local knowledge of drainage or other possible problems with services</w:t>
      </w:r>
    </w:p>
    <w:p w14:paraId="0BD73385" w14:textId="77777777" w:rsidR="00690C9E" w:rsidRPr="00CA22D5" w:rsidRDefault="00690C9E" w:rsidP="00DF6BBE">
      <w:pPr>
        <w:pStyle w:val="ListParagraph"/>
        <w:numPr>
          <w:ilvl w:val="0"/>
          <w:numId w:val="12"/>
        </w:numPr>
        <w:jc w:val="both"/>
        <w:rPr>
          <w:sz w:val="22"/>
          <w:szCs w:val="22"/>
        </w:rPr>
      </w:pPr>
      <w:r w:rsidRPr="00CA22D5">
        <w:rPr>
          <w:sz w:val="22"/>
          <w:szCs w:val="22"/>
        </w:rPr>
        <w:t>Noise, disturbance, smells</w:t>
      </w:r>
    </w:p>
    <w:p w14:paraId="05EEB7EA" w14:textId="77777777" w:rsidR="00690C9E" w:rsidRPr="00CA22D5" w:rsidRDefault="00690C9E" w:rsidP="00DF6BBE">
      <w:pPr>
        <w:pStyle w:val="ListParagraph"/>
        <w:numPr>
          <w:ilvl w:val="0"/>
          <w:numId w:val="12"/>
        </w:numPr>
        <w:jc w:val="both"/>
        <w:rPr>
          <w:sz w:val="22"/>
          <w:szCs w:val="22"/>
        </w:rPr>
      </w:pPr>
      <w:r w:rsidRPr="00CA22D5">
        <w:rPr>
          <w:sz w:val="22"/>
          <w:szCs w:val="22"/>
        </w:rPr>
        <w:t>Traffic and highway issues</w:t>
      </w:r>
    </w:p>
    <w:p w14:paraId="32124CE6" w14:textId="77777777" w:rsidR="00690C9E" w:rsidRPr="00CA22D5" w:rsidRDefault="00690C9E" w:rsidP="00DF6BBE">
      <w:pPr>
        <w:pStyle w:val="ListParagraph"/>
        <w:numPr>
          <w:ilvl w:val="0"/>
          <w:numId w:val="12"/>
        </w:numPr>
        <w:jc w:val="both"/>
        <w:rPr>
          <w:sz w:val="22"/>
          <w:szCs w:val="22"/>
        </w:rPr>
      </w:pPr>
      <w:r w:rsidRPr="00CA22D5">
        <w:rPr>
          <w:sz w:val="22"/>
          <w:szCs w:val="22"/>
        </w:rPr>
        <w:t>Scale of development</w:t>
      </w:r>
    </w:p>
    <w:p w14:paraId="031CD293" w14:textId="50C6A732" w:rsidR="00690C9E" w:rsidRPr="00CA22D5" w:rsidRDefault="00690C9E" w:rsidP="00DF6BBE">
      <w:pPr>
        <w:pStyle w:val="ListParagraph"/>
        <w:numPr>
          <w:ilvl w:val="0"/>
          <w:numId w:val="12"/>
        </w:numPr>
        <w:jc w:val="both"/>
        <w:rPr>
          <w:sz w:val="22"/>
          <w:szCs w:val="22"/>
        </w:rPr>
      </w:pPr>
      <w:r w:rsidRPr="00CA22D5">
        <w:rPr>
          <w:sz w:val="22"/>
          <w:szCs w:val="22"/>
        </w:rPr>
        <w:t>Over</w:t>
      </w:r>
      <w:r w:rsidR="00693714" w:rsidRPr="00CA22D5">
        <w:rPr>
          <w:sz w:val="22"/>
          <w:szCs w:val="22"/>
        </w:rPr>
        <w:t>-</w:t>
      </w:r>
      <w:r w:rsidRPr="00CA22D5">
        <w:rPr>
          <w:sz w:val="22"/>
          <w:szCs w:val="22"/>
        </w:rPr>
        <w:t>dominance</w:t>
      </w:r>
    </w:p>
    <w:p w14:paraId="03C6FBAA" w14:textId="77777777" w:rsidR="00690C9E" w:rsidRPr="00CA22D5" w:rsidRDefault="00690C9E" w:rsidP="00DF6BBE">
      <w:pPr>
        <w:pStyle w:val="ListParagraph"/>
        <w:numPr>
          <w:ilvl w:val="0"/>
          <w:numId w:val="12"/>
        </w:numPr>
        <w:jc w:val="both"/>
        <w:rPr>
          <w:sz w:val="22"/>
          <w:szCs w:val="22"/>
        </w:rPr>
      </w:pPr>
      <w:r w:rsidRPr="00CA22D5">
        <w:rPr>
          <w:sz w:val="22"/>
          <w:szCs w:val="22"/>
        </w:rPr>
        <w:t>Public view across the land</w:t>
      </w:r>
    </w:p>
    <w:p w14:paraId="03B16D53" w14:textId="77777777" w:rsidR="00690C9E" w:rsidRPr="00CA22D5" w:rsidRDefault="00690C9E" w:rsidP="00DF6BBE">
      <w:pPr>
        <w:pStyle w:val="ListParagraph"/>
        <w:numPr>
          <w:ilvl w:val="0"/>
          <w:numId w:val="12"/>
        </w:numPr>
        <w:jc w:val="both"/>
        <w:rPr>
          <w:sz w:val="22"/>
          <w:szCs w:val="22"/>
        </w:rPr>
      </w:pPr>
      <w:r w:rsidRPr="00CA22D5">
        <w:rPr>
          <w:sz w:val="22"/>
          <w:szCs w:val="22"/>
        </w:rPr>
        <w:t>Loss of important open spaces</w:t>
      </w:r>
    </w:p>
    <w:p w14:paraId="48BBB4FA" w14:textId="77777777" w:rsidR="00690C9E" w:rsidRPr="00CA22D5" w:rsidRDefault="00690C9E" w:rsidP="00DF6BBE">
      <w:pPr>
        <w:pStyle w:val="ListParagraph"/>
        <w:numPr>
          <w:ilvl w:val="0"/>
          <w:numId w:val="12"/>
        </w:numPr>
        <w:jc w:val="both"/>
        <w:rPr>
          <w:sz w:val="22"/>
          <w:szCs w:val="22"/>
        </w:rPr>
      </w:pPr>
      <w:r w:rsidRPr="00CA22D5">
        <w:rPr>
          <w:sz w:val="22"/>
          <w:szCs w:val="22"/>
        </w:rPr>
        <w:t>Landscaping</w:t>
      </w:r>
    </w:p>
    <w:p w14:paraId="641AAF5E" w14:textId="77777777" w:rsidR="00690C9E" w:rsidRPr="00CA22D5" w:rsidRDefault="00690C9E" w:rsidP="00DF6BBE">
      <w:pPr>
        <w:pStyle w:val="ListParagraph"/>
        <w:numPr>
          <w:ilvl w:val="0"/>
          <w:numId w:val="12"/>
        </w:numPr>
        <w:jc w:val="both"/>
        <w:rPr>
          <w:sz w:val="22"/>
          <w:szCs w:val="22"/>
        </w:rPr>
      </w:pPr>
      <w:r w:rsidRPr="00CA22D5">
        <w:rPr>
          <w:sz w:val="22"/>
          <w:szCs w:val="22"/>
        </w:rPr>
        <w:t>Design, appearance, layout and materials</w:t>
      </w:r>
    </w:p>
    <w:p w14:paraId="6EC68635" w14:textId="77777777" w:rsidR="00690C9E" w:rsidRPr="00CA22D5" w:rsidRDefault="00690C9E" w:rsidP="00DF6BBE">
      <w:pPr>
        <w:pStyle w:val="ListParagraph"/>
        <w:numPr>
          <w:ilvl w:val="0"/>
          <w:numId w:val="12"/>
        </w:numPr>
        <w:jc w:val="both"/>
        <w:rPr>
          <w:sz w:val="22"/>
          <w:szCs w:val="22"/>
        </w:rPr>
      </w:pPr>
      <w:r w:rsidRPr="00CA22D5">
        <w:rPr>
          <w:sz w:val="22"/>
          <w:szCs w:val="22"/>
        </w:rPr>
        <w:t>Retention of important physical features</w:t>
      </w:r>
    </w:p>
    <w:p w14:paraId="51179005" w14:textId="700914AF" w:rsidR="00690C9E" w:rsidRPr="00CA22D5" w:rsidRDefault="00690C9E" w:rsidP="00DF6BBE">
      <w:pPr>
        <w:pStyle w:val="ListParagraph"/>
        <w:numPr>
          <w:ilvl w:val="0"/>
          <w:numId w:val="12"/>
        </w:numPr>
        <w:jc w:val="both"/>
        <w:rPr>
          <w:sz w:val="22"/>
          <w:szCs w:val="22"/>
        </w:rPr>
      </w:pPr>
      <w:r w:rsidRPr="00CA22D5">
        <w:rPr>
          <w:sz w:val="22"/>
          <w:szCs w:val="22"/>
        </w:rPr>
        <w:t>Conservation of buildings etc</w:t>
      </w:r>
      <w:r w:rsidR="00693714" w:rsidRPr="00CA22D5">
        <w:rPr>
          <w:sz w:val="22"/>
          <w:szCs w:val="22"/>
        </w:rPr>
        <w:t>.</w:t>
      </w:r>
    </w:p>
    <w:p w14:paraId="0FFCF7E5" w14:textId="77777777" w:rsidR="00690C9E" w:rsidRPr="00CA22D5" w:rsidRDefault="00690C9E" w:rsidP="00DF6BBE">
      <w:pPr>
        <w:pStyle w:val="ListParagraph"/>
        <w:numPr>
          <w:ilvl w:val="0"/>
          <w:numId w:val="12"/>
        </w:numPr>
        <w:jc w:val="both"/>
        <w:rPr>
          <w:sz w:val="22"/>
          <w:szCs w:val="22"/>
        </w:rPr>
      </w:pPr>
      <w:r w:rsidRPr="00CA22D5">
        <w:rPr>
          <w:sz w:val="22"/>
          <w:szCs w:val="22"/>
        </w:rPr>
        <w:t>Impact on surroundings e.g. whether it affects the character or an area</w:t>
      </w:r>
    </w:p>
    <w:p w14:paraId="76BECB21" w14:textId="77777777" w:rsidR="00690C9E" w:rsidRPr="00CA22D5" w:rsidRDefault="00690C9E" w:rsidP="00DF6BBE">
      <w:pPr>
        <w:pStyle w:val="ListParagraph"/>
        <w:numPr>
          <w:ilvl w:val="0"/>
          <w:numId w:val="12"/>
        </w:numPr>
        <w:jc w:val="both"/>
        <w:rPr>
          <w:sz w:val="22"/>
          <w:szCs w:val="22"/>
        </w:rPr>
      </w:pPr>
      <w:r w:rsidRPr="00CA22D5">
        <w:rPr>
          <w:sz w:val="22"/>
          <w:szCs w:val="22"/>
        </w:rPr>
        <w:t>Emerging planning policy, depending on what stage it’s at.</w:t>
      </w:r>
    </w:p>
    <w:p w14:paraId="1083A102" w14:textId="77777777" w:rsidR="00690C9E" w:rsidRPr="00CA22D5" w:rsidRDefault="00690C9E" w:rsidP="00DF6BBE">
      <w:pPr>
        <w:jc w:val="both"/>
        <w:rPr>
          <w:sz w:val="22"/>
          <w:szCs w:val="22"/>
        </w:rPr>
      </w:pPr>
    </w:p>
    <w:p w14:paraId="24C4927C" w14:textId="77777777" w:rsidR="00690C9E" w:rsidRPr="00CA22D5" w:rsidRDefault="00690C9E" w:rsidP="00DF6BBE">
      <w:pPr>
        <w:jc w:val="both"/>
        <w:rPr>
          <w:sz w:val="22"/>
          <w:szCs w:val="22"/>
        </w:rPr>
      </w:pPr>
      <w:r w:rsidRPr="00CA22D5">
        <w:rPr>
          <w:sz w:val="22"/>
          <w:szCs w:val="22"/>
        </w:rPr>
        <w:t>They cannot include:</w:t>
      </w:r>
    </w:p>
    <w:p w14:paraId="243460D6" w14:textId="77777777" w:rsidR="00690C9E" w:rsidRPr="00CA22D5" w:rsidRDefault="00690C9E" w:rsidP="00DF6BBE">
      <w:pPr>
        <w:pStyle w:val="ListParagraph"/>
        <w:numPr>
          <w:ilvl w:val="0"/>
          <w:numId w:val="13"/>
        </w:numPr>
        <w:jc w:val="both"/>
        <w:rPr>
          <w:sz w:val="22"/>
          <w:szCs w:val="22"/>
        </w:rPr>
      </w:pPr>
      <w:r w:rsidRPr="00CA22D5">
        <w:rPr>
          <w:sz w:val="22"/>
          <w:szCs w:val="22"/>
        </w:rPr>
        <w:t>Morals or motives of the developer</w:t>
      </w:r>
    </w:p>
    <w:p w14:paraId="0873B7A7" w14:textId="77777777" w:rsidR="00690C9E" w:rsidRPr="00CA22D5" w:rsidRDefault="00690C9E" w:rsidP="00DF6BBE">
      <w:pPr>
        <w:pStyle w:val="ListParagraph"/>
        <w:numPr>
          <w:ilvl w:val="0"/>
          <w:numId w:val="13"/>
        </w:numPr>
        <w:jc w:val="both"/>
        <w:rPr>
          <w:sz w:val="22"/>
          <w:szCs w:val="22"/>
        </w:rPr>
      </w:pPr>
      <w:r w:rsidRPr="00CA22D5">
        <w:rPr>
          <w:sz w:val="22"/>
          <w:szCs w:val="22"/>
        </w:rPr>
        <w:t>Effect on the value of a property</w:t>
      </w:r>
    </w:p>
    <w:p w14:paraId="5A594733" w14:textId="77777777" w:rsidR="00690C9E" w:rsidRPr="00CA22D5" w:rsidRDefault="00690C9E" w:rsidP="00DF6BBE">
      <w:pPr>
        <w:pStyle w:val="ListParagraph"/>
        <w:numPr>
          <w:ilvl w:val="0"/>
          <w:numId w:val="13"/>
        </w:numPr>
        <w:jc w:val="both"/>
        <w:rPr>
          <w:sz w:val="22"/>
          <w:szCs w:val="22"/>
        </w:rPr>
      </w:pPr>
      <w:r w:rsidRPr="00CA22D5">
        <w:rPr>
          <w:sz w:val="22"/>
          <w:szCs w:val="22"/>
        </w:rPr>
        <w:t>Private property rights such as boundary or access disputes</w:t>
      </w:r>
    </w:p>
    <w:p w14:paraId="2E0D5EF2" w14:textId="77777777" w:rsidR="00690C9E" w:rsidRPr="00CA22D5" w:rsidRDefault="00690C9E" w:rsidP="00DF6BBE">
      <w:pPr>
        <w:pStyle w:val="ListParagraph"/>
        <w:numPr>
          <w:ilvl w:val="0"/>
          <w:numId w:val="13"/>
        </w:numPr>
        <w:jc w:val="both"/>
        <w:rPr>
          <w:sz w:val="22"/>
          <w:szCs w:val="22"/>
        </w:rPr>
      </w:pPr>
      <w:r w:rsidRPr="00CA22D5">
        <w:rPr>
          <w:sz w:val="22"/>
          <w:szCs w:val="22"/>
        </w:rPr>
        <w:t>Possible future development not included in the application</w:t>
      </w:r>
    </w:p>
    <w:p w14:paraId="16B5E11C" w14:textId="77777777" w:rsidR="00690C9E" w:rsidRPr="00CA22D5" w:rsidRDefault="00690C9E" w:rsidP="00DF6BBE">
      <w:pPr>
        <w:pStyle w:val="ListParagraph"/>
        <w:numPr>
          <w:ilvl w:val="0"/>
          <w:numId w:val="13"/>
        </w:numPr>
        <w:jc w:val="both"/>
        <w:rPr>
          <w:sz w:val="22"/>
          <w:szCs w:val="22"/>
        </w:rPr>
      </w:pPr>
      <w:r w:rsidRPr="00CA22D5">
        <w:rPr>
          <w:sz w:val="22"/>
          <w:szCs w:val="22"/>
        </w:rPr>
        <w:t>Comparison with other previously approved schemes on the site</w:t>
      </w:r>
    </w:p>
    <w:p w14:paraId="7095A4EB" w14:textId="3C8D750A" w:rsidR="00690C9E" w:rsidRPr="00CA22D5" w:rsidRDefault="00690C9E" w:rsidP="00DF6BBE">
      <w:pPr>
        <w:pStyle w:val="ListParagraph"/>
        <w:numPr>
          <w:ilvl w:val="0"/>
          <w:numId w:val="13"/>
        </w:numPr>
        <w:jc w:val="both"/>
        <w:rPr>
          <w:sz w:val="22"/>
          <w:szCs w:val="22"/>
        </w:rPr>
      </w:pPr>
      <w:r w:rsidRPr="00CA22D5">
        <w:rPr>
          <w:sz w:val="22"/>
          <w:szCs w:val="22"/>
        </w:rPr>
        <w:t>Matters covered by laws such as alcohol or gaming licences, or Building Regs.</w:t>
      </w:r>
    </w:p>
    <w:p w14:paraId="19CFE291" w14:textId="77777777" w:rsidR="00690C9E" w:rsidRPr="00CA22D5" w:rsidRDefault="00690C9E" w:rsidP="00DF6BBE">
      <w:pPr>
        <w:ind w:left="360"/>
        <w:jc w:val="both"/>
        <w:rPr>
          <w:sz w:val="22"/>
          <w:szCs w:val="22"/>
        </w:rPr>
      </w:pPr>
    </w:p>
    <w:p w14:paraId="35C2982A" w14:textId="69E066A4" w:rsidR="00B84AC7" w:rsidRPr="00CA22D5" w:rsidRDefault="00B84AC7" w:rsidP="00DF6BBE">
      <w:pPr>
        <w:spacing w:after="200"/>
        <w:jc w:val="both"/>
        <w:rPr>
          <w:rFonts w:cs="Gill Sans"/>
          <w:sz w:val="22"/>
          <w:szCs w:val="22"/>
        </w:rPr>
      </w:pPr>
      <w:r w:rsidRPr="00CA22D5">
        <w:rPr>
          <w:rFonts w:cs="Gill Sans"/>
          <w:color w:val="000000"/>
          <w:sz w:val="22"/>
          <w:szCs w:val="22"/>
        </w:rPr>
        <w:t xml:space="preserve">Those interested in planning applications should first of all consult the </w:t>
      </w:r>
      <w:r w:rsidR="00CA22D5" w:rsidRPr="00CA22D5">
        <w:rPr>
          <w:rFonts w:cs="Gill Sans"/>
          <w:color w:val="000000"/>
          <w:sz w:val="22"/>
          <w:szCs w:val="22"/>
        </w:rPr>
        <w:t>Vale’</w:t>
      </w:r>
      <w:r w:rsidRPr="00CA22D5">
        <w:rPr>
          <w:rFonts w:cs="Gill Sans"/>
          <w:color w:val="000000"/>
          <w:sz w:val="22"/>
          <w:szCs w:val="22"/>
        </w:rPr>
        <w:t xml:space="preserve">s website*.  BPC encourages parishioners to </w:t>
      </w:r>
      <w:r w:rsidR="00D166B0">
        <w:rPr>
          <w:rFonts w:cs="Gill Sans"/>
          <w:color w:val="000000"/>
          <w:sz w:val="22"/>
          <w:szCs w:val="22"/>
        </w:rPr>
        <w:t>email</w:t>
      </w:r>
      <w:r w:rsidRPr="00CA22D5">
        <w:rPr>
          <w:rFonts w:cs="Gill Sans"/>
          <w:color w:val="000000"/>
          <w:sz w:val="22"/>
          <w:szCs w:val="22"/>
        </w:rPr>
        <w:t xml:space="preserve"> the Vale’s planning office, either in suppo</w:t>
      </w:r>
      <w:r w:rsidR="00CA22D5" w:rsidRPr="00CA22D5">
        <w:rPr>
          <w:rFonts w:cs="Gill Sans"/>
          <w:color w:val="000000"/>
          <w:sz w:val="22"/>
          <w:szCs w:val="22"/>
        </w:rPr>
        <w:t>rt of or against an application –</w:t>
      </w:r>
      <w:r w:rsidRPr="00CA22D5">
        <w:rPr>
          <w:rFonts w:cs="Gill Sans"/>
          <w:color w:val="000000"/>
          <w:sz w:val="22"/>
          <w:szCs w:val="22"/>
        </w:rPr>
        <w:t xml:space="preserve"> the more voices that are heard, the better.</w:t>
      </w:r>
    </w:p>
    <w:p w14:paraId="4AE0F67C" w14:textId="60CE8635" w:rsidR="00D166B0" w:rsidRPr="00D166B0" w:rsidRDefault="00D166B0" w:rsidP="00D166B0">
      <w:pPr>
        <w:spacing w:after="200"/>
        <w:ind w:left="360"/>
        <w:jc w:val="both"/>
      </w:pPr>
      <w:r>
        <w:t>*</w:t>
      </w:r>
      <w:hyperlink r:id="rId6" w:history="1">
        <w:r w:rsidRPr="00DC1E23">
          <w:rPr>
            <w:rStyle w:val="Hyperlink"/>
          </w:rPr>
          <w:t>https://www.whitehorsedc.gov.uk/vale-of-white-horse-district-council/planning-and-development/</w:t>
        </w:r>
      </w:hyperlink>
    </w:p>
    <w:p w14:paraId="2B6F362D" w14:textId="718A8ACF" w:rsidR="00E86153" w:rsidRDefault="00413F57" w:rsidP="00D3284E">
      <w:pPr>
        <w:rPr>
          <w:sz w:val="22"/>
          <w:szCs w:val="22"/>
          <w:u w:val="single"/>
        </w:rPr>
      </w:pPr>
      <w:r>
        <w:rPr>
          <w:sz w:val="22"/>
          <w:szCs w:val="22"/>
        </w:rPr>
        <w:t>T</w:t>
      </w:r>
      <w:r w:rsidRPr="00DF6BBE">
        <w:rPr>
          <w:sz w:val="22"/>
          <w:szCs w:val="22"/>
        </w:rPr>
        <w:t>he presumption in favour of ‘sustainable development’ remains enshrined in the National Planning Policy Framework – this means that the job of planners at the Vale is to enable</w:t>
      </w:r>
      <w:r>
        <w:rPr>
          <w:sz w:val="22"/>
          <w:szCs w:val="22"/>
        </w:rPr>
        <w:t xml:space="preserve"> (rather than block)</w:t>
      </w:r>
      <w:r w:rsidRPr="00DF6BBE">
        <w:rPr>
          <w:sz w:val="22"/>
          <w:szCs w:val="22"/>
        </w:rPr>
        <w:t xml:space="preserve"> planning applications </w:t>
      </w:r>
      <w:r>
        <w:rPr>
          <w:sz w:val="22"/>
          <w:szCs w:val="22"/>
        </w:rPr>
        <w:t>that meet the criteria</w:t>
      </w:r>
      <w:r w:rsidRPr="00DF6BBE">
        <w:rPr>
          <w:sz w:val="22"/>
          <w:szCs w:val="22"/>
        </w:rPr>
        <w:t>.</w:t>
      </w:r>
    </w:p>
    <w:p w14:paraId="63A92CCF" w14:textId="77777777" w:rsidR="00413F57" w:rsidRDefault="00413F57" w:rsidP="00D3284E">
      <w:pPr>
        <w:rPr>
          <w:sz w:val="22"/>
          <w:szCs w:val="22"/>
          <w:u w:val="single"/>
        </w:rPr>
      </w:pPr>
    </w:p>
    <w:p w14:paraId="775F152E" w14:textId="77777777" w:rsidR="00413F57" w:rsidRDefault="00413F57" w:rsidP="00D3284E">
      <w:pPr>
        <w:rPr>
          <w:sz w:val="22"/>
          <w:szCs w:val="22"/>
          <w:u w:val="single"/>
        </w:rPr>
      </w:pPr>
    </w:p>
    <w:p w14:paraId="7AFA444E" w14:textId="77777777" w:rsidR="00413F57" w:rsidRDefault="00413F57" w:rsidP="00D3284E">
      <w:pPr>
        <w:rPr>
          <w:sz w:val="22"/>
          <w:szCs w:val="22"/>
          <w:u w:val="single"/>
        </w:rPr>
      </w:pPr>
    </w:p>
    <w:p w14:paraId="2B76F91C" w14:textId="77777777" w:rsidR="00413F57" w:rsidRDefault="00413F57" w:rsidP="00D3284E">
      <w:pPr>
        <w:rPr>
          <w:sz w:val="22"/>
          <w:szCs w:val="22"/>
          <w:u w:val="single"/>
        </w:rPr>
      </w:pPr>
    </w:p>
    <w:p w14:paraId="607B0520" w14:textId="6E1B6177" w:rsidR="00CA22D5" w:rsidRPr="00D3284E" w:rsidRDefault="00CA22D5" w:rsidP="00D3284E">
      <w:pPr>
        <w:rPr>
          <w:sz w:val="22"/>
          <w:szCs w:val="22"/>
          <w:u w:val="single"/>
        </w:rPr>
      </w:pPr>
      <w:r w:rsidRPr="00D3284E">
        <w:rPr>
          <w:sz w:val="22"/>
          <w:szCs w:val="22"/>
          <w:u w:val="single"/>
        </w:rPr>
        <w:t>Blewbury’s Neighbourhood Development Plan</w:t>
      </w:r>
      <w:r w:rsidR="00D166B0">
        <w:rPr>
          <w:sz w:val="22"/>
          <w:szCs w:val="22"/>
          <w:u w:val="single"/>
        </w:rPr>
        <w:t xml:space="preserve"> (NDP)</w:t>
      </w:r>
    </w:p>
    <w:p w14:paraId="43EE475D" w14:textId="77777777" w:rsidR="00DF6BBE" w:rsidRDefault="00DF6BBE" w:rsidP="00DF6BBE">
      <w:pPr>
        <w:rPr>
          <w:sz w:val="22"/>
          <w:szCs w:val="22"/>
        </w:rPr>
      </w:pPr>
    </w:p>
    <w:p w14:paraId="5B40CC68" w14:textId="7BDD79B1" w:rsidR="00D3465C" w:rsidRDefault="00D3465C" w:rsidP="00D3465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PC was very sorry to hear of the recent death of Eric </w:t>
      </w:r>
      <w:proofErr w:type="spellStart"/>
      <w:r>
        <w:rPr>
          <w:sz w:val="22"/>
          <w:szCs w:val="22"/>
        </w:rPr>
        <w:t>Eisenhandler</w:t>
      </w:r>
      <w:proofErr w:type="spellEnd"/>
      <w:r>
        <w:rPr>
          <w:sz w:val="22"/>
          <w:szCs w:val="22"/>
        </w:rPr>
        <w:t xml:space="preserve">, who </w:t>
      </w:r>
      <w:r w:rsidR="00C323A6">
        <w:rPr>
          <w:sz w:val="22"/>
          <w:szCs w:val="22"/>
        </w:rPr>
        <w:t xml:space="preserve">helped to research and write the village NDP over the course of two long years. The document was adopted in </w:t>
      </w:r>
      <w:r>
        <w:rPr>
          <w:sz w:val="22"/>
          <w:szCs w:val="22"/>
        </w:rPr>
        <w:t>November 2016</w:t>
      </w:r>
      <w:r w:rsidR="00C323A6">
        <w:rPr>
          <w:sz w:val="22"/>
          <w:szCs w:val="22"/>
        </w:rPr>
        <w:t>, after much painstaking copy-editing, formatting and proofreading by Eric</w:t>
      </w:r>
      <w:r>
        <w:rPr>
          <w:sz w:val="22"/>
          <w:szCs w:val="22"/>
        </w:rPr>
        <w:t xml:space="preserve">. </w:t>
      </w:r>
      <w:r w:rsidR="00C323A6">
        <w:rPr>
          <w:sz w:val="22"/>
          <w:szCs w:val="22"/>
        </w:rPr>
        <w:t xml:space="preserve">It is a legal document which the Vale’s development management officers must take into account when making planning decisions, and is an </w:t>
      </w:r>
      <w:r>
        <w:rPr>
          <w:sz w:val="22"/>
          <w:szCs w:val="22"/>
        </w:rPr>
        <w:t xml:space="preserve">incredibly </w:t>
      </w:r>
      <w:r w:rsidR="001836AC">
        <w:rPr>
          <w:sz w:val="22"/>
          <w:szCs w:val="22"/>
        </w:rPr>
        <w:t>helpful</w:t>
      </w:r>
      <w:r w:rsidR="00C323A6">
        <w:rPr>
          <w:sz w:val="22"/>
          <w:szCs w:val="22"/>
        </w:rPr>
        <w:t xml:space="preserve">, evidence-based resource that </w:t>
      </w:r>
      <w:r w:rsidR="00413F57">
        <w:rPr>
          <w:sz w:val="22"/>
          <w:szCs w:val="22"/>
        </w:rPr>
        <w:t>is often cited by the PC in planning objections or comments</w:t>
      </w:r>
      <w:r w:rsidR="001836AC">
        <w:rPr>
          <w:sz w:val="22"/>
          <w:szCs w:val="22"/>
        </w:rPr>
        <w:t xml:space="preserve">. </w:t>
      </w:r>
      <w:r>
        <w:rPr>
          <w:sz w:val="22"/>
          <w:szCs w:val="22"/>
        </w:rPr>
        <w:t>This fact alone is testament to the importance of Eric’s contribution</w:t>
      </w:r>
      <w:r w:rsidR="00C323A6">
        <w:rPr>
          <w:sz w:val="22"/>
          <w:szCs w:val="22"/>
        </w:rPr>
        <w:t xml:space="preserve"> to the village, </w:t>
      </w:r>
      <w:r>
        <w:rPr>
          <w:sz w:val="22"/>
          <w:szCs w:val="22"/>
        </w:rPr>
        <w:t xml:space="preserve">although </w:t>
      </w:r>
      <w:r w:rsidR="00C323A6">
        <w:rPr>
          <w:sz w:val="22"/>
          <w:szCs w:val="22"/>
        </w:rPr>
        <w:t>of course</w:t>
      </w:r>
      <w:r>
        <w:rPr>
          <w:sz w:val="22"/>
          <w:szCs w:val="22"/>
        </w:rPr>
        <w:t xml:space="preserve"> he was instrumental </w:t>
      </w:r>
      <w:r w:rsidR="00D270CB">
        <w:rPr>
          <w:sz w:val="22"/>
          <w:szCs w:val="22"/>
        </w:rPr>
        <w:t>to the success of</w:t>
      </w:r>
      <w:r>
        <w:rPr>
          <w:sz w:val="22"/>
          <w:szCs w:val="22"/>
        </w:rPr>
        <w:t xml:space="preserve"> many </w:t>
      </w:r>
      <w:r w:rsidR="00C323A6">
        <w:rPr>
          <w:sz w:val="22"/>
          <w:szCs w:val="22"/>
        </w:rPr>
        <w:t>Blewbury</w:t>
      </w:r>
      <w:r>
        <w:rPr>
          <w:sz w:val="22"/>
          <w:szCs w:val="22"/>
        </w:rPr>
        <w:t xml:space="preserve"> initiatives over the years. </w:t>
      </w:r>
    </w:p>
    <w:p w14:paraId="5D2187ED" w14:textId="77777777" w:rsidR="00D3465C" w:rsidRDefault="00D3465C" w:rsidP="00D3465C">
      <w:pPr>
        <w:jc w:val="both"/>
        <w:rPr>
          <w:sz w:val="22"/>
          <w:szCs w:val="22"/>
        </w:rPr>
      </w:pPr>
    </w:p>
    <w:p w14:paraId="75505B5D" w14:textId="147C863C" w:rsidR="00D3465C" w:rsidRDefault="00D3465C" w:rsidP="00D3465C">
      <w:pPr>
        <w:jc w:val="both"/>
        <w:rPr>
          <w:sz w:val="22"/>
          <w:szCs w:val="22"/>
        </w:rPr>
      </w:pPr>
      <w:r>
        <w:rPr>
          <w:sz w:val="22"/>
          <w:szCs w:val="22"/>
        </w:rPr>
        <w:t>The NDP</w:t>
      </w:r>
      <w:r w:rsidR="001836AC">
        <w:rPr>
          <w:sz w:val="22"/>
          <w:szCs w:val="22"/>
        </w:rPr>
        <w:t xml:space="preserve"> was adopted in November 2016 an</w:t>
      </w:r>
      <w:r w:rsidR="000151E5">
        <w:rPr>
          <w:sz w:val="22"/>
          <w:szCs w:val="22"/>
        </w:rPr>
        <w:t xml:space="preserve">d </w:t>
      </w:r>
      <w:r w:rsidR="005F2201">
        <w:rPr>
          <w:sz w:val="22"/>
          <w:szCs w:val="22"/>
        </w:rPr>
        <w:t xml:space="preserve">the PC </w:t>
      </w:r>
      <w:r w:rsidR="00E5461E">
        <w:rPr>
          <w:sz w:val="22"/>
          <w:szCs w:val="22"/>
        </w:rPr>
        <w:t xml:space="preserve">plans to </w:t>
      </w:r>
      <w:r w:rsidR="005F2201">
        <w:rPr>
          <w:sz w:val="22"/>
          <w:szCs w:val="22"/>
        </w:rPr>
        <w:t>st</w:t>
      </w:r>
      <w:r w:rsidR="00413F57">
        <w:rPr>
          <w:sz w:val="22"/>
          <w:szCs w:val="22"/>
        </w:rPr>
        <w:t>a</w:t>
      </w:r>
      <w:r w:rsidR="005F2201">
        <w:rPr>
          <w:sz w:val="22"/>
          <w:szCs w:val="22"/>
        </w:rPr>
        <w:t>rt</w:t>
      </w:r>
      <w:r w:rsidR="00E5461E">
        <w:rPr>
          <w:sz w:val="22"/>
          <w:szCs w:val="22"/>
        </w:rPr>
        <w:t xml:space="preserve"> a review of the</w:t>
      </w:r>
      <w:r w:rsidR="000151E5">
        <w:rPr>
          <w:sz w:val="22"/>
          <w:szCs w:val="22"/>
        </w:rPr>
        <w:t xml:space="preserve"> NDP </w:t>
      </w:r>
      <w:r w:rsidR="00413F57">
        <w:rPr>
          <w:sz w:val="22"/>
          <w:szCs w:val="22"/>
        </w:rPr>
        <w:t xml:space="preserve">when </w:t>
      </w:r>
      <w:r w:rsidR="000151E5">
        <w:rPr>
          <w:sz w:val="22"/>
          <w:szCs w:val="22"/>
        </w:rPr>
        <w:t xml:space="preserve">the </w:t>
      </w:r>
      <w:r w:rsidR="00E5461E">
        <w:rPr>
          <w:sz w:val="22"/>
          <w:szCs w:val="22"/>
        </w:rPr>
        <w:t xml:space="preserve">Vale/SODC’s joint local plan is </w:t>
      </w:r>
      <w:r w:rsidR="00413F57">
        <w:rPr>
          <w:sz w:val="22"/>
          <w:szCs w:val="22"/>
        </w:rPr>
        <w:t>adopted</w:t>
      </w:r>
      <w:r w:rsidR="000151E5">
        <w:rPr>
          <w:sz w:val="22"/>
          <w:szCs w:val="22"/>
        </w:rPr>
        <w:t xml:space="preserve">. </w:t>
      </w:r>
      <w:r w:rsidR="005F2201">
        <w:rPr>
          <w:sz w:val="22"/>
          <w:szCs w:val="22"/>
        </w:rPr>
        <w:t xml:space="preserve">Various omissions and a loophole </w:t>
      </w:r>
      <w:r w:rsidR="00CE7ABA">
        <w:rPr>
          <w:sz w:val="22"/>
          <w:szCs w:val="22"/>
        </w:rPr>
        <w:t xml:space="preserve">relating to the definition of agricultural buildings </w:t>
      </w:r>
      <w:r w:rsidR="005F2201">
        <w:rPr>
          <w:sz w:val="22"/>
          <w:szCs w:val="22"/>
        </w:rPr>
        <w:t>have come to light</w:t>
      </w:r>
      <w:r w:rsidR="00413F57">
        <w:rPr>
          <w:sz w:val="22"/>
          <w:szCs w:val="22"/>
        </w:rPr>
        <w:t xml:space="preserve"> </w:t>
      </w:r>
      <w:r w:rsidR="00CE7ABA">
        <w:rPr>
          <w:sz w:val="22"/>
          <w:szCs w:val="22"/>
        </w:rPr>
        <w:t xml:space="preserve">in the years </w:t>
      </w:r>
      <w:r w:rsidR="00413F57">
        <w:rPr>
          <w:sz w:val="22"/>
          <w:szCs w:val="22"/>
        </w:rPr>
        <w:t>since the NDP was made</w:t>
      </w:r>
      <w:r w:rsidR="00CE7ABA">
        <w:rPr>
          <w:sz w:val="22"/>
          <w:szCs w:val="22"/>
        </w:rPr>
        <w:t xml:space="preserve">. New policies </w:t>
      </w:r>
      <w:r>
        <w:rPr>
          <w:sz w:val="22"/>
          <w:szCs w:val="22"/>
        </w:rPr>
        <w:t xml:space="preserve">could </w:t>
      </w:r>
      <w:r w:rsidR="00C323A6">
        <w:rPr>
          <w:sz w:val="22"/>
          <w:szCs w:val="22"/>
        </w:rPr>
        <w:t>relate to</w:t>
      </w:r>
      <w:r>
        <w:rPr>
          <w:sz w:val="22"/>
          <w:szCs w:val="22"/>
        </w:rPr>
        <w:t xml:space="preserve"> </w:t>
      </w:r>
      <w:r w:rsidR="00C323A6">
        <w:rPr>
          <w:sz w:val="22"/>
          <w:szCs w:val="22"/>
        </w:rPr>
        <w:t xml:space="preserve">the following broad </w:t>
      </w:r>
      <w:r>
        <w:rPr>
          <w:sz w:val="22"/>
          <w:szCs w:val="22"/>
        </w:rPr>
        <w:t xml:space="preserve">subjects: </w:t>
      </w:r>
      <w:r w:rsidR="00CE7ABA">
        <w:rPr>
          <w:sz w:val="22"/>
          <w:szCs w:val="22"/>
        </w:rPr>
        <w:t xml:space="preserve"> </w:t>
      </w:r>
    </w:p>
    <w:p w14:paraId="644889D6" w14:textId="20210506" w:rsidR="00D3465C" w:rsidRPr="00CE7ABA" w:rsidRDefault="00D3465C" w:rsidP="00D3465C">
      <w:pPr>
        <w:pStyle w:val="ListParagraph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CE7ABA">
        <w:rPr>
          <w:sz w:val="22"/>
          <w:szCs w:val="22"/>
        </w:rPr>
        <w:t xml:space="preserve">limate change </w:t>
      </w:r>
    </w:p>
    <w:p w14:paraId="526EC8B4" w14:textId="664161C3" w:rsidR="00CE7ABA" w:rsidRPr="00D3465C" w:rsidRDefault="00CE7ABA" w:rsidP="00D3465C">
      <w:pPr>
        <w:pStyle w:val="ListParagraph"/>
        <w:numPr>
          <w:ilvl w:val="0"/>
          <w:numId w:val="14"/>
        </w:numPr>
        <w:jc w:val="both"/>
        <w:rPr>
          <w:sz w:val="22"/>
          <w:szCs w:val="22"/>
        </w:rPr>
      </w:pPr>
      <w:r w:rsidRPr="00D3465C">
        <w:rPr>
          <w:sz w:val="22"/>
          <w:szCs w:val="22"/>
        </w:rPr>
        <w:t>discouraging loss of gardens to encourage biodiversity and minimise flooding</w:t>
      </w:r>
    </w:p>
    <w:p w14:paraId="1E4883AD" w14:textId="15FCD917" w:rsidR="00CE7ABA" w:rsidRPr="00CE7ABA" w:rsidRDefault="00C323A6" w:rsidP="00CE7ABA">
      <w:pPr>
        <w:pStyle w:val="ListParagraph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providing</w:t>
      </w:r>
      <w:r w:rsidR="00CE7ABA">
        <w:rPr>
          <w:sz w:val="22"/>
          <w:szCs w:val="22"/>
        </w:rPr>
        <w:t xml:space="preserve"> greater protection </w:t>
      </w:r>
      <w:r>
        <w:rPr>
          <w:sz w:val="22"/>
          <w:szCs w:val="22"/>
        </w:rPr>
        <w:t>for</w:t>
      </w:r>
      <w:r w:rsidR="00CE7ABA" w:rsidRPr="00CE7ABA">
        <w:rPr>
          <w:sz w:val="22"/>
          <w:szCs w:val="22"/>
        </w:rPr>
        <w:t xml:space="preserve"> green </w:t>
      </w:r>
      <w:r>
        <w:rPr>
          <w:sz w:val="22"/>
          <w:szCs w:val="22"/>
        </w:rPr>
        <w:t>lungs with</w:t>
      </w:r>
      <w:r w:rsidR="00CE7ABA" w:rsidRPr="00CE7ABA">
        <w:rPr>
          <w:sz w:val="22"/>
          <w:szCs w:val="22"/>
        </w:rPr>
        <w:t>in the village</w:t>
      </w:r>
    </w:p>
    <w:p w14:paraId="409E3BCA" w14:textId="07AC21CE" w:rsidR="00CE7ABA" w:rsidRDefault="00CE7ABA" w:rsidP="00CE7ABA">
      <w:pPr>
        <w:pStyle w:val="ListParagraph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Pr="00CE7ABA">
        <w:rPr>
          <w:sz w:val="22"/>
          <w:szCs w:val="22"/>
        </w:rPr>
        <w:t>nergy saving</w:t>
      </w:r>
      <w:r>
        <w:rPr>
          <w:sz w:val="22"/>
          <w:szCs w:val="22"/>
        </w:rPr>
        <w:t xml:space="preserve"> and </w:t>
      </w:r>
      <w:r w:rsidRPr="00CE7ABA">
        <w:rPr>
          <w:sz w:val="22"/>
          <w:szCs w:val="22"/>
        </w:rPr>
        <w:t>retro-fitting</w:t>
      </w:r>
      <w:r>
        <w:rPr>
          <w:sz w:val="22"/>
          <w:szCs w:val="22"/>
        </w:rPr>
        <w:t xml:space="preserve"> measures for old building</w:t>
      </w:r>
      <w:r w:rsidR="00D3465C">
        <w:rPr>
          <w:sz w:val="22"/>
          <w:szCs w:val="22"/>
        </w:rPr>
        <w:t>s</w:t>
      </w:r>
    </w:p>
    <w:p w14:paraId="55A4D049" w14:textId="20712BD1" w:rsidR="00CE7ABA" w:rsidRPr="00CE7ABA" w:rsidRDefault="00D3465C" w:rsidP="00CE7ABA">
      <w:pPr>
        <w:pStyle w:val="ListParagraph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CE7ABA" w:rsidRPr="005F2201">
        <w:rPr>
          <w:sz w:val="22"/>
          <w:szCs w:val="22"/>
        </w:rPr>
        <w:t>lifecycle</w:t>
      </w:r>
      <w:r w:rsidR="00CE7ABA">
        <w:rPr>
          <w:sz w:val="22"/>
          <w:szCs w:val="22"/>
        </w:rPr>
        <w:t>/</w:t>
      </w:r>
      <w:r w:rsidR="00CE7ABA" w:rsidRPr="005F2201">
        <w:rPr>
          <w:sz w:val="22"/>
          <w:szCs w:val="22"/>
        </w:rPr>
        <w:t>environmental cost of materials used in new developments</w:t>
      </w:r>
    </w:p>
    <w:p w14:paraId="39D4FD3F" w14:textId="77777777" w:rsidR="00E86153" w:rsidRDefault="00E86153" w:rsidP="00DF6BBE">
      <w:pPr>
        <w:jc w:val="both"/>
        <w:rPr>
          <w:sz w:val="22"/>
          <w:szCs w:val="22"/>
        </w:rPr>
      </w:pPr>
    </w:p>
    <w:p w14:paraId="47516052" w14:textId="7CA5975D" w:rsidR="001836AC" w:rsidRPr="00E86153" w:rsidRDefault="00E86153" w:rsidP="00DF6BBE">
      <w:pPr>
        <w:jc w:val="both"/>
        <w:rPr>
          <w:sz w:val="22"/>
          <w:szCs w:val="22"/>
          <w:u w:val="single"/>
        </w:rPr>
      </w:pPr>
      <w:r w:rsidRPr="00E86153">
        <w:rPr>
          <w:sz w:val="22"/>
          <w:szCs w:val="22"/>
          <w:u w:val="single"/>
        </w:rPr>
        <w:t>Conservation Area Appraisal</w:t>
      </w:r>
    </w:p>
    <w:p w14:paraId="6FC89268" w14:textId="77777777" w:rsidR="00E86153" w:rsidRDefault="00E86153" w:rsidP="00DF6BBE">
      <w:pPr>
        <w:jc w:val="both"/>
        <w:rPr>
          <w:sz w:val="22"/>
          <w:szCs w:val="22"/>
        </w:rPr>
      </w:pPr>
    </w:p>
    <w:p w14:paraId="3B0434ED" w14:textId="11E0596C" w:rsidR="00E86153" w:rsidRPr="00CA22D5" w:rsidRDefault="00CE7ABA" w:rsidP="00DF6BBE">
      <w:pPr>
        <w:jc w:val="both"/>
        <w:rPr>
          <w:sz w:val="22"/>
          <w:szCs w:val="22"/>
        </w:rPr>
      </w:pPr>
      <w:r>
        <w:rPr>
          <w:sz w:val="22"/>
          <w:szCs w:val="22"/>
        </w:rPr>
        <w:t>The PC voted to ratify the Blewbury’s new conservation area</w:t>
      </w:r>
      <w:r w:rsidR="00E86153">
        <w:rPr>
          <w:sz w:val="22"/>
          <w:szCs w:val="22"/>
        </w:rPr>
        <w:t xml:space="preserve"> </w:t>
      </w:r>
      <w:r w:rsidR="00E5461E">
        <w:rPr>
          <w:sz w:val="22"/>
          <w:szCs w:val="22"/>
        </w:rPr>
        <w:t>appraisal</w:t>
      </w:r>
      <w:r>
        <w:rPr>
          <w:sz w:val="22"/>
          <w:szCs w:val="22"/>
        </w:rPr>
        <w:t xml:space="preserve"> in February</w:t>
      </w:r>
      <w:r w:rsidR="00D3465C">
        <w:rPr>
          <w:sz w:val="22"/>
          <w:szCs w:val="22"/>
        </w:rPr>
        <w:t xml:space="preserve"> this year</w:t>
      </w:r>
      <w:r>
        <w:rPr>
          <w:sz w:val="22"/>
          <w:szCs w:val="22"/>
        </w:rPr>
        <w:t>. It is currently going through the final processes of being formally adopted by the Vale</w:t>
      </w:r>
      <w:r w:rsidRPr="00CE7AB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The PC will be able to use this </w:t>
      </w:r>
      <w:r w:rsidR="00C323A6">
        <w:rPr>
          <w:sz w:val="22"/>
          <w:szCs w:val="22"/>
        </w:rPr>
        <w:t xml:space="preserve">new, </w:t>
      </w:r>
      <w:r>
        <w:rPr>
          <w:sz w:val="22"/>
          <w:szCs w:val="22"/>
        </w:rPr>
        <w:t>evidence-based document to protect and enhance the conservation area, including its green spaces.</w:t>
      </w:r>
    </w:p>
    <w:p w14:paraId="6F177FCF" w14:textId="77777777" w:rsidR="00CE7ABA" w:rsidRDefault="00CE7ABA" w:rsidP="00DF6BBE">
      <w:pPr>
        <w:jc w:val="both"/>
        <w:rPr>
          <w:sz w:val="22"/>
          <w:szCs w:val="22"/>
          <w:u w:val="single"/>
        </w:rPr>
      </w:pPr>
    </w:p>
    <w:p w14:paraId="20E17B8D" w14:textId="65FB2717" w:rsidR="00CA22D5" w:rsidRDefault="00CA22D5" w:rsidP="00DF6BBE">
      <w:pPr>
        <w:jc w:val="both"/>
        <w:rPr>
          <w:sz w:val="22"/>
          <w:szCs w:val="22"/>
          <w:u w:val="single"/>
        </w:rPr>
      </w:pPr>
      <w:r w:rsidRPr="00CA22D5">
        <w:rPr>
          <w:sz w:val="22"/>
          <w:szCs w:val="22"/>
          <w:u w:val="single"/>
        </w:rPr>
        <w:t>Planning in the Vale of White Horse DC</w:t>
      </w:r>
    </w:p>
    <w:p w14:paraId="422E7B53" w14:textId="77777777" w:rsidR="00CA22D5" w:rsidRPr="00CA22D5" w:rsidRDefault="00CA22D5" w:rsidP="00DF6BBE">
      <w:pPr>
        <w:jc w:val="both"/>
        <w:rPr>
          <w:sz w:val="22"/>
          <w:szCs w:val="22"/>
          <w:u w:val="single"/>
        </w:rPr>
      </w:pPr>
    </w:p>
    <w:p w14:paraId="6B146307" w14:textId="4CB31376" w:rsidR="00CE7ABA" w:rsidRDefault="00E86153" w:rsidP="00DF6B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South Oxfordshire DC and the Vale </w:t>
      </w:r>
      <w:r w:rsidR="009C32DF">
        <w:rPr>
          <w:sz w:val="22"/>
          <w:szCs w:val="22"/>
        </w:rPr>
        <w:t>are working together</w:t>
      </w:r>
      <w:r>
        <w:rPr>
          <w:sz w:val="22"/>
          <w:szCs w:val="22"/>
        </w:rPr>
        <w:t xml:space="preserve"> on a joint local plan </w:t>
      </w:r>
      <w:r w:rsidR="00CE7ABA">
        <w:rPr>
          <w:sz w:val="22"/>
          <w:szCs w:val="22"/>
        </w:rPr>
        <w:t xml:space="preserve">which will apply </w:t>
      </w:r>
      <w:r>
        <w:rPr>
          <w:sz w:val="22"/>
          <w:szCs w:val="22"/>
        </w:rPr>
        <w:t xml:space="preserve">beyond </w:t>
      </w:r>
      <w:r w:rsidR="00CE7ABA">
        <w:rPr>
          <w:sz w:val="22"/>
          <w:szCs w:val="22"/>
        </w:rPr>
        <w:t>2031</w:t>
      </w:r>
      <w:r w:rsidR="00C323A6">
        <w:rPr>
          <w:sz w:val="22"/>
          <w:szCs w:val="22"/>
        </w:rPr>
        <w:t xml:space="preserve"> (when</w:t>
      </w:r>
      <w:r w:rsidR="00CE7ABA">
        <w:rPr>
          <w:sz w:val="22"/>
          <w:szCs w:val="22"/>
        </w:rPr>
        <w:t xml:space="preserve"> the Vale’s current local plan</w:t>
      </w:r>
      <w:r w:rsidR="00C323A6">
        <w:rPr>
          <w:sz w:val="22"/>
          <w:szCs w:val="22"/>
        </w:rPr>
        <w:t xml:space="preserve"> expires)</w:t>
      </w:r>
      <w:r>
        <w:rPr>
          <w:sz w:val="22"/>
          <w:szCs w:val="22"/>
        </w:rPr>
        <w:t>.</w:t>
      </w:r>
      <w:r w:rsidRPr="00CA22D5">
        <w:rPr>
          <w:sz w:val="22"/>
          <w:szCs w:val="22"/>
        </w:rPr>
        <w:t xml:space="preserve"> </w:t>
      </w:r>
      <w:r w:rsidR="008B5A49">
        <w:rPr>
          <w:sz w:val="22"/>
          <w:szCs w:val="22"/>
        </w:rPr>
        <w:t xml:space="preserve">The PC agreed a comprehensive response to the latest consultation </w:t>
      </w:r>
      <w:r w:rsidR="00CE7ABA">
        <w:rPr>
          <w:sz w:val="22"/>
          <w:szCs w:val="22"/>
        </w:rPr>
        <w:t xml:space="preserve">from Vale/SODC </w:t>
      </w:r>
      <w:r w:rsidR="008B5A49">
        <w:rPr>
          <w:sz w:val="22"/>
          <w:szCs w:val="22"/>
        </w:rPr>
        <w:t xml:space="preserve">on proposed policies late last year. </w:t>
      </w:r>
    </w:p>
    <w:p w14:paraId="7E7FC1FC" w14:textId="77777777" w:rsidR="00CE7ABA" w:rsidRDefault="00CE7ABA" w:rsidP="00DF6BBE">
      <w:pPr>
        <w:jc w:val="both"/>
        <w:rPr>
          <w:sz w:val="22"/>
          <w:szCs w:val="22"/>
        </w:rPr>
      </w:pPr>
    </w:p>
    <w:p w14:paraId="4A30672F" w14:textId="6D833CDB" w:rsidR="0036330C" w:rsidRDefault="00202D5D" w:rsidP="00DF6BBE">
      <w:pPr>
        <w:jc w:val="both"/>
        <w:rPr>
          <w:sz w:val="22"/>
          <w:szCs w:val="22"/>
        </w:rPr>
      </w:pPr>
      <w:r w:rsidRPr="00202D5D">
        <w:rPr>
          <w:sz w:val="22"/>
          <w:szCs w:val="22"/>
        </w:rPr>
        <w:t xml:space="preserve">The </w:t>
      </w:r>
      <w:r w:rsidR="00CE7ABA">
        <w:rPr>
          <w:sz w:val="22"/>
          <w:szCs w:val="22"/>
        </w:rPr>
        <w:t xml:space="preserve">Vale’s published </w:t>
      </w:r>
      <w:r w:rsidRPr="00202D5D">
        <w:rPr>
          <w:sz w:val="22"/>
          <w:szCs w:val="22"/>
        </w:rPr>
        <w:t xml:space="preserve">five-year housing land supply position, as </w:t>
      </w:r>
      <w:r>
        <w:rPr>
          <w:sz w:val="22"/>
          <w:szCs w:val="22"/>
        </w:rPr>
        <w:t>of December 2023</w:t>
      </w:r>
      <w:r w:rsidRPr="00202D5D">
        <w:rPr>
          <w:sz w:val="22"/>
          <w:szCs w:val="22"/>
        </w:rPr>
        <w:t>, is 6.56 years</w:t>
      </w:r>
      <w:r>
        <w:rPr>
          <w:sz w:val="22"/>
          <w:szCs w:val="22"/>
        </w:rPr>
        <w:t xml:space="preserve">, which </w:t>
      </w:r>
      <w:r w:rsidR="00CE7ABA">
        <w:rPr>
          <w:sz w:val="22"/>
          <w:szCs w:val="22"/>
        </w:rPr>
        <w:t xml:space="preserve">provides a </w:t>
      </w:r>
      <w:r>
        <w:rPr>
          <w:sz w:val="22"/>
          <w:szCs w:val="22"/>
        </w:rPr>
        <w:t xml:space="preserve">more comfortable </w:t>
      </w:r>
      <w:r w:rsidR="00CE7ABA">
        <w:rPr>
          <w:sz w:val="22"/>
          <w:szCs w:val="22"/>
        </w:rPr>
        <w:t xml:space="preserve">buffer </w:t>
      </w:r>
      <w:r>
        <w:rPr>
          <w:sz w:val="22"/>
          <w:szCs w:val="22"/>
        </w:rPr>
        <w:t xml:space="preserve">than in </w:t>
      </w:r>
      <w:r w:rsidR="00CE7ABA">
        <w:rPr>
          <w:sz w:val="22"/>
          <w:szCs w:val="22"/>
        </w:rPr>
        <w:t xml:space="preserve">recent years. </w:t>
      </w:r>
    </w:p>
    <w:p w14:paraId="765138A3" w14:textId="77777777" w:rsidR="00202D5D" w:rsidRDefault="00202D5D" w:rsidP="00DF6BBE">
      <w:pPr>
        <w:jc w:val="both"/>
        <w:rPr>
          <w:sz w:val="22"/>
          <w:szCs w:val="22"/>
        </w:rPr>
      </w:pPr>
    </w:p>
    <w:p w14:paraId="27E123FD" w14:textId="032E5F8E" w:rsidR="00202D5D" w:rsidRDefault="00202D5D" w:rsidP="00DF6B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Plans for </w:t>
      </w:r>
      <w:r w:rsidRPr="00CA22D5">
        <w:rPr>
          <w:sz w:val="22"/>
          <w:szCs w:val="22"/>
        </w:rPr>
        <w:t xml:space="preserve">Didcot Garden Town </w:t>
      </w:r>
      <w:r>
        <w:rPr>
          <w:sz w:val="22"/>
          <w:szCs w:val="22"/>
        </w:rPr>
        <w:t>carry on developing slowly – w</w:t>
      </w:r>
      <w:r w:rsidRPr="00CA22D5">
        <w:rPr>
          <w:sz w:val="22"/>
          <w:szCs w:val="22"/>
        </w:rPr>
        <w:t xml:space="preserve">e </w:t>
      </w:r>
      <w:r>
        <w:rPr>
          <w:sz w:val="22"/>
          <w:szCs w:val="22"/>
        </w:rPr>
        <w:t>continue to monitor these</w:t>
      </w:r>
      <w:r w:rsidRPr="00CA22D5">
        <w:rPr>
          <w:sz w:val="22"/>
          <w:szCs w:val="22"/>
        </w:rPr>
        <w:t>.</w:t>
      </w:r>
    </w:p>
    <w:p w14:paraId="637EB5A1" w14:textId="77777777" w:rsidR="0036330C" w:rsidRPr="00CA22D5" w:rsidRDefault="0036330C" w:rsidP="00DF6BBE">
      <w:pPr>
        <w:jc w:val="both"/>
        <w:rPr>
          <w:sz w:val="22"/>
          <w:szCs w:val="22"/>
        </w:rPr>
      </w:pPr>
    </w:p>
    <w:p w14:paraId="3469911F" w14:textId="33E9F024" w:rsidR="00CA22D5" w:rsidRDefault="00CA22D5" w:rsidP="00DF6BBE">
      <w:pPr>
        <w:jc w:val="both"/>
        <w:rPr>
          <w:sz w:val="22"/>
          <w:szCs w:val="22"/>
          <w:u w:val="single"/>
        </w:rPr>
      </w:pPr>
      <w:r w:rsidRPr="00CA22D5">
        <w:rPr>
          <w:sz w:val="22"/>
          <w:szCs w:val="22"/>
          <w:u w:val="single"/>
        </w:rPr>
        <w:t>The Oxfordshire Growth Deal</w:t>
      </w:r>
      <w:r w:rsidR="009C32DF">
        <w:rPr>
          <w:sz w:val="22"/>
          <w:szCs w:val="22"/>
          <w:u w:val="single"/>
        </w:rPr>
        <w:t xml:space="preserve"> and the </w:t>
      </w:r>
      <w:r w:rsidR="009C32DF" w:rsidRPr="009C32DF">
        <w:rPr>
          <w:rFonts w:cs="Gill Sans"/>
          <w:color w:val="000000"/>
          <w:sz w:val="22"/>
          <w:szCs w:val="22"/>
          <w:u w:val="single"/>
        </w:rPr>
        <w:t>Joint Strategic Spatial Plan (JSSP)</w:t>
      </w:r>
      <w:r w:rsidR="009C32DF">
        <w:rPr>
          <w:rFonts w:cs="Gill Sans"/>
          <w:color w:val="000000"/>
          <w:sz w:val="22"/>
          <w:szCs w:val="22"/>
          <w:u w:val="single"/>
        </w:rPr>
        <w:t xml:space="preserve"> 2050</w:t>
      </w:r>
    </w:p>
    <w:p w14:paraId="0C3DFDA4" w14:textId="77777777" w:rsidR="00CA22D5" w:rsidRPr="00CA22D5" w:rsidRDefault="00CA22D5" w:rsidP="00DF6BBE">
      <w:pPr>
        <w:jc w:val="both"/>
        <w:rPr>
          <w:sz w:val="22"/>
          <w:szCs w:val="22"/>
          <w:u w:val="single"/>
        </w:rPr>
      </w:pPr>
    </w:p>
    <w:p w14:paraId="78B530A4" w14:textId="393202E8" w:rsidR="00240646" w:rsidRPr="005351E3" w:rsidRDefault="005351E3" w:rsidP="005351E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former </w:t>
      </w:r>
      <w:r w:rsidRPr="005351E3">
        <w:rPr>
          <w:i/>
          <w:sz w:val="22"/>
          <w:szCs w:val="22"/>
        </w:rPr>
        <w:t>Oxfordshire Growth Board</w:t>
      </w:r>
      <w:r>
        <w:rPr>
          <w:sz w:val="22"/>
          <w:szCs w:val="22"/>
        </w:rPr>
        <w:t xml:space="preserve"> is now </w:t>
      </w:r>
      <w:r w:rsidRPr="005351E3">
        <w:rPr>
          <w:i/>
          <w:sz w:val="22"/>
          <w:szCs w:val="22"/>
        </w:rPr>
        <w:t>The Future Oxfordshire Partnershi</w:t>
      </w:r>
      <w:r w:rsidR="008B5A49">
        <w:rPr>
          <w:i/>
          <w:sz w:val="22"/>
          <w:szCs w:val="22"/>
        </w:rPr>
        <w:t>p (FOP)</w:t>
      </w:r>
      <w:r>
        <w:rPr>
          <w:sz w:val="22"/>
          <w:szCs w:val="22"/>
        </w:rPr>
        <w:t xml:space="preserve">. </w:t>
      </w:r>
      <w:r w:rsidR="008B5A49">
        <w:rPr>
          <w:sz w:val="22"/>
          <w:szCs w:val="22"/>
        </w:rPr>
        <w:t xml:space="preserve">This </w:t>
      </w:r>
      <w:r>
        <w:rPr>
          <w:sz w:val="22"/>
          <w:szCs w:val="22"/>
        </w:rPr>
        <w:t xml:space="preserve">body </w:t>
      </w:r>
      <w:r w:rsidR="00D660A6">
        <w:rPr>
          <w:sz w:val="22"/>
          <w:szCs w:val="22"/>
        </w:rPr>
        <w:t>was</w:t>
      </w:r>
      <w:r>
        <w:rPr>
          <w:sz w:val="22"/>
          <w:szCs w:val="22"/>
        </w:rPr>
        <w:t xml:space="preserve"> responsible for delivering the </w:t>
      </w:r>
      <w:r w:rsidRPr="00CA22D5">
        <w:rPr>
          <w:rFonts w:cs="Gill Sans"/>
          <w:color w:val="000000"/>
          <w:sz w:val="22"/>
          <w:szCs w:val="22"/>
        </w:rPr>
        <w:t xml:space="preserve">JSSP for the whole county, </w:t>
      </w:r>
      <w:r w:rsidR="008B5A49">
        <w:rPr>
          <w:rFonts w:cs="Gill Sans"/>
          <w:color w:val="000000"/>
          <w:sz w:val="22"/>
          <w:szCs w:val="22"/>
        </w:rPr>
        <w:t xml:space="preserve">but this venture collapsed </w:t>
      </w:r>
      <w:r w:rsidR="00D660A6">
        <w:rPr>
          <w:rFonts w:cs="Gill Sans"/>
          <w:color w:val="000000"/>
          <w:sz w:val="22"/>
          <w:szCs w:val="22"/>
        </w:rPr>
        <w:t>after the</w:t>
      </w:r>
      <w:r w:rsidR="00E5461E">
        <w:rPr>
          <w:rFonts w:cs="Gill Sans"/>
          <w:color w:val="000000"/>
          <w:sz w:val="22"/>
          <w:szCs w:val="22"/>
        </w:rPr>
        <w:t xml:space="preserve"> county’s</w:t>
      </w:r>
      <w:r w:rsidR="00D660A6">
        <w:rPr>
          <w:rFonts w:cs="Gill Sans"/>
          <w:color w:val="000000"/>
          <w:sz w:val="22"/>
          <w:szCs w:val="22"/>
        </w:rPr>
        <w:t xml:space="preserve"> six local authorities </w:t>
      </w:r>
      <w:r w:rsidR="00E5461E">
        <w:rPr>
          <w:rFonts w:cs="Gill Sans"/>
          <w:color w:val="000000"/>
          <w:sz w:val="22"/>
          <w:szCs w:val="22"/>
        </w:rPr>
        <w:t>failed to agree on</w:t>
      </w:r>
      <w:r w:rsidR="00D660A6">
        <w:rPr>
          <w:rFonts w:cs="Gill Sans"/>
          <w:color w:val="000000"/>
          <w:sz w:val="22"/>
          <w:szCs w:val="22"/>
        </w:rPr>
        <w:t xml:space="preserve"> housing allocation. </w:t>
      </w:r>
      <w:r w:rsidR="008B5A49">
        <w:rPr>
          <w:rFonts w:cs="Gill Sans"/>
          <w:color w:val="000000"/>
          <w:sz w:val="22"/>
          <w:szCs w:val="22"/>
        </w:rPr>
        <w:t xml:space="preserve">According to its website, </w:t>
      </w:r>
      <w:r w:rsidR="006346DE">
        <w:rPr>
          <w:rFonts w:cs="Gill Sans"/>
          <w:color w:val="000000"/>
          <w:sz w:val="22"/>
          <w:szCs w:val="22"/>
        </w:rPr>
        <w:t>t</w:t>
      </w:r>
      <w:r w:rsidR="008B5A49">
        <w:rPr>
          <w:rFonts w:cs="Gill Sans"/>
          <w:color w:val="000000"/>
          <w:sz w:val="22"/>
          <w:szCs w:val="22"/>
        </w:rPr>
        <w:t xml:space="preserve">he FOP </w:t>
      </w:r>
      <w:r w:rsidR="00EE6B2F">
        <w:rPr>
          <w:rFonts w:cs="Gill Sans"/>
          <w:color w:val="000000"/>
          <w:sz w:val="22"/>
          <w:szCs w:val="22"/>
        </w:rPr>
        <w:t>helps oversee</w:t>
      </w:r>
      <w:r w:rsidR="008B5A49" w:rsidRPr="008B5A49">
        <w:rPr>
          <w:rFonts w:cs="Gill Sans"/>
          <w:color w:val="000000"/>
          <w:sz w:val="22"/>
          <w:szCs w:val="22"/>
        </w:rPr>
        <w:t xml:space="preserve"> </w:t>
      </w:r>
      <w:r w:rsidR="00EE6B2F">
        <w:rPr>
          <w:rFonts w:cs="Gill Sans"/>
          <w:color w:val="000000"/>
          <w:sz w:val="22"/>
          <w:szCs w:val="22"/>
        </w:rPr>
        <w:t>‘</w:t>
      </w:r>
      <w:r w:rsidR="008B5A49" w:rsidRPr="008B5A49">
        <w:rPr>
          <w:rFonts w:cs="Gill Sans"/>
          <w:color w:val="000000"/>
          <w:sz w:val="22"/>
          <w:szCs w:val="22"/>
        </w:rPr>
        <w:t>projects that the councils of Oxfordshire are seeking to deliver collaboratively in the fields of economic development and strategic planning</w:t>
      </w:r>
      <w:r w:rsidR="00EE6B2F">
        <w:rPr>
          <w:rFonts w:cs="Gill Sans"/>
          <w:color w:val="000000"/>
          <w:sz w:val="22"/>
          <w:szCs w:val="22"/>
        </w:rPr>
        <w:t>’</w:t>
      </w:r>
      <w:r w:rsidR="008B5A49">
        <w:rPr>
          <w:rFonts w:cs="Gill Sans"/>
          <w:color w:val="000000"/>
          <w:sz w:val="22"/>
          <w:szCs w:val="22"/>
        </w:rPr>
        <w:t xml:space="preserve"> (including</w:t>
      </w:r>
      <w:r w:rsidR="008B5A49" w:rsidRPr="008B5A49">
        <w:rPr>
          <w:rFonts w:cs="Gill Sans"/>
          <w:color w:val="000000"/>
          <w:sz w:val="22"/>
          <w:szCs w:val="22"/>
        </w:rPr>
        <w:t xml:space="preserve"> </w:t>
      </w:r>
      <w:r w:rsidR="008B5A49">
        <w:rPr>
          <w:rFonts w:cs="Gill Sans"/>
          <w:color w:val="000000"/>
          <w:sz w:val="22"/>
          <w:szCs w:val="22"/>
        </w:rPr>
        <w:t>t</w:t>
      </w:r>
      <w:r w:rsidR="008B5A49" w:rsidRPr="008B5A49">
        <w:rPr>
          <w:rFonts w:cs="Gill Sans"/>
          <w:color w:val="000000"/>
          <w:sz w:val="22"/>
          <w:szCs w:val="22"/>
        </w:rPr>
        <w:t>he City Deal, Housing and Growth Deal, Housing Infrastructure Fund and the Oxfordshire Rail Connectivity Study</w:t>
      </w:r>
      <w:r w:rsidR="008B5A49">
        <w:rPr>
          <w:rFonts w:cs="Gill Sans"/>
          <w:color w:val="000000"/>
          <w:sz w:val="22"/>
          <w:szCs w:val="22"/>
        </w:rPr>
        <w:t>)</w:t>
      </w:r>
      <w:r w:rsidR="008B5A49" w:rsidRPr="008B5A49">
        <w:rPr>
          <w:rFonts w:cs="Gill Sans"/>
          <w:color w:val="000000"/>
          <w:sz w:val="22"/>
          <w:szCs w:val="22"/>
        </w:rPr>
        <w:t>.</w:t>
      </w:r>
      <w:r w:rsidR="008B5A49">
        <w:rPr>
          <w:rFonts w:cs="Gill Sans"/>
          <w:color w:val="000000"/>
          <w:sz w:val="22"/>
          <w:szCs w:val="22"/>
        </w:rPr>
        <w:t xml:space="preserve"> </w:t>
      </w:r>
      <w:r w:rsidR="008B5A49" w:rsidRPr="008B5A49">
        <w:rPr>
          <w:rFonts w:cs="Gill Sans"/>
          <w:color w:val="000000"/>
          <w:sz w:val="22"/>
          <w:szCs w:val="22"/>
        </w:rPr>
        <w:t xml:space="preserve">The </w:t>
      </w:r>
      <w:r w:rsidR="008B5A49">
        <w:rPr>
          <w:rFonts w:cs="Gill Sans"/>
          <w:color w:val="000000"/>
          <w:sz w:val="22"/>
          <w:szCs w:val="22"/>
        </w:rPr>
        <w:t xml:space="preserve">FOP, which meets six times a year, </w:t>
      </w:r>
      <w:r w:rsidR="008B5A49" w:rsidRPr="008B5A49">
        <w:rPr>
          <w:rFonts w:cs="Gill Sans"/>
          <w:color w:val="000000"/>
          <w:sz w:val="22"/>
          <w:szCs w:val="22"/>
        </w:rPr>
        <w:t>also represent</w:t>
      </w:r>
      <w:r w:rsidR="008B5A49">
        <w:rPr>
          <w:rFonts w:cs="Gill Sans"/>
          <w:color w:val="000000"/>
          <w:sz w:val="22"/>
          <w:szCs w:val="22"/>
        </w:rPr>
        <w:t>s</w:t>
      </w:r>
      <w:r w:rsidR="008B5A49" w:rsidRPr="008B5A49">
        <w:rPr>
          <w:rFonts w:cs="Gill Sans"/>
          <w:color w:val="000000"/>
          <w:sz w:val="22"/>
          <w:szCs w:val="22"/>
        </w:rPr>
        <w:t xml:space="preserve"> Oxfordshire on matters of regional interest.</w:t>
      </w:r>
    </w:p>
    <w:p w14:paraId="205CC3B9" w14:textId="77777777" w:rsidR="005351E3" w:rsidRPr="00CA22D5" w:rsidRDefault="005351E3" w:rsidP="00DF6BBE">
      <w:pPr>
        <w:jc w:val="both"/>
        <w:rPr>
          <w:sz w:val="22"/>
          <w:szCs w:val="22"/>
          <w:u w:val="single"/>
        </w:rPr>
      </w:pPr>
    </w:p>
    <w:p w14:paraId="31CDC3E3" w14:textId="77777777" w:rsidR="004F52CC" w:rsidRDefault="004F52CC" w:rsidP="00AD20D0">
      <w:pPr>
        <w:spacing w:after="200"/>
        <w:jc w:val="both"/>
        <w:rPr>
          <w:rFonts w:cs="Gill Sans"/>
          <w:color w:val="000000"/>
          <w:sz w:val="22"/>
          <w:szCs w:val="22"/>
        </w:rPr>
      </w:pPr>
    </w:p>
    <w:p w14:paraId="14B4F9B0" w14:textId="6CA23E6F" w:rsidR="004F52CC" w:rsidRPr="00AD20D0" w:rsidRDefault="004F52CC" w:rsidP="00AD20D0">
      <w:pPr>
        <w:spacing w:after="200"/>
        <w:jc w:val="both"/>
        <w:rPr>
          <w:rFonts w:cs="Gill Sans"/>
          <w:color w:val="000000"/>
          <w:sz w:val="22"/>
          <w:szCs w:val="22"/>
        </w:rPr>
      </w:pPr>
      <w:r>
        <w:rPr>
          <w:rFonts w:cs="Gill Sans"/>
          <w:color w:val="000000"/>
          <w:sz w:val="22"/>
          <w:szCs w:val="22"/>
        </w:rPr>
        <w:t>Lydia Inglis, Blewbury Parish Council</w:t>
      </w:r>
    </w:p>
    <w:p w14:paraId="082DACB6" w14:textId="0DB44D48" w:rsidR="00732190" w:rsidRPr="00AD20D0" w:rsidRDefault="00732190" w:rsidP="00AD20D0">
      <w:pPr>
        <w:spacing w:after="200"/>
        <w:jc w:val="both"/>
        <w:rPr>
          <w:rFonts w:cs="Gill Sans"/>
          <w:color w:val="000000"/>
          <w:sz w:val="22"/>
          <w:szCs w:val="22"/>
        </w:rPr>
      </w:pPr>
    </w:p>
    <w:sectPr w:rsidR="00732190" w:rsidRPr="00AD20D0" w:rsidSect="00694B1A">
      <w:pgSz w:w="11900" w:h="16840"/>
      <w:pgMar w:top="851" w:right="1797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A4F2A"/>
    <w:multiLevelType w:val="hybridMultilevel"/>
    <w:tmpl w:val="2D241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367FF"/>
    <w:multiLevelType w:val="multilevel"/>
    <w:tmpl w:val="E1FAD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57094D"/>
    <w:multiLevelType w:val="multilevel"/>
    <w:tmpl w:val="DD98A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CC524B"/>
    <w:multiLevelType w:val="multilevel"/>
    <w:tmpl w:val="A1B2C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A17B00"/>
    <w:multiLevelType w:val="multilevel"/>
    <w:tmpl w:val="20385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1875B2"/>
    <w:multiLevelType w:val="hybridMultilevel"/>
    <w:tmpl w:val="E96A2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D3340"/>
    <w:multiLevelType w:val="multilevel"/>
    <w:tmpl w:val="9A22A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6201BA"/>
    <w:multiLevelType w:val="multilevel"/>
    <w:tmpl w:val="E7DC8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CE0CE2"/>
    <w:multiLevelType w:val="multilevel"/>
    <w:tmpl w:val="BD808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AB2A59"/>
    <w:multiLevelType w:val="multilevel"/>
    <w:tmpl w:val="B28E7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F0234F"/>
    <w:multiLevelType w:val="hybridMultilevel"/>
    <w:tmpl w:val="6F8CA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39080E"/>
    <w:multiLevelType w:val="hybridMultilevel"/>
    <w:tmpl w:val="442E2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123596"/>
    <w:multiLevelType w:val="multilevel"/>
    <w:tmpl w:val="F5F4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AC80C09"/>
    <w:multiLevelType w:val="multilevel"/>
    <w:tmpl w:val="CB4CD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0168964">
    <w:abstractNumId w:val="3"/>
  </w:num>
  <w:num w:numId="2" w16cid:durableId="1170635907">
    <w:abstractNumId w:val="13"/>
  </w:num>
  <w:num w:numId="3" w16cid:durableId="472332553">
    <w:abstractNumId w:val="12"/>
  </w:num>
  <w:num w:numId="4" w16cid:durableId="1881355578">
    <w:abstractNumId w:val="5"/>
  </w:num>
  <w:num w:numId="5" w16cid:durableId="724837838">
    <w:abstractNumId w:val="8"/>
  </w:num>
  <w:num w:numId="6" w16cid:durableId="1906256858">
    <w:abstractNumId w:val="1"/>
  </w:num>
  <w:num w:numId="7" w16cid:durableId="137456546">
    <w:abstractNumId w:val="4"/>
  </w:num>
  <w:num w:numId="8" w16cid:durableId="1809785756">
    <w:abstractNumId w:val="6"/>
  </w:num>
  <w:num w:numId="9" w16cid:durableId="360787665">
    <w:abstractNumId w:val="2"/>
  </w:num>
  <w:num w:numId="10" w16cid:durableId="411898674">
    <w:abstractNumId w:val="7"/>
  </w:num>
  <w:num w:numId="11" w16cid:durableId="1644500042">
    <w:abstractNumId w:val="9"/>
  </w:num>
  <w:num w:numId="12" w16cid:durableId="1765759578">
    <w:abstractNumId w:val="11"/>
  </w:num>
  <w:num w:numId="13" w16cid:durableId="1080759586">
    <w:abstractNumId w:val="10"/>
  </w:num>
  <w:num w:numId="14" w16cid:durableId="1718318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2C1"/>
    <w:rsid w:val="000151E5"/>
    <w:rsid w:val="00021B77"/>
    <w:rsid w:val="00077603"/>
    <w:rsid w:val="00090850"/>
    <w:rsid w:val="000C4BB4"/>
    <w:rsid w:val="000E22E0"/>
    <w:rsid w:val="000E313C"/>
    <w:rsid w:val="0011605C"/>
    <w:rsid w:val="001836AC"/>
    <w:rsid w:val="001A5822"/>
    <w:rsid w:val="001B20A4"/>
    <w:rsid w:val="001E716B"/>
    <w:rsid w:val="00202D5D"/>
    <w:rsid w:val="00210D4E"/>
    <w:rsid w:val="0023788C"/>
    <w:rsid w:val="00240646"/>
    <w:rsid w:val="0027246A"/>
    <w:rsid w:val="003150AA"/>
    <w:rsid w:val="00356824"/>
    <w:rsid w:val="0036330C"/>
    <w:rsid w:val="00393FD2"/>
    <w:rsid w:val="003C247D"/>
    <w:rsid w:val="003D1409"/>
    <w:rsid w:val="00413F57"/>
    <w:rsid w:val="00437765"/>
    <w:rsid w:val="00453DBC"/>
    <w:rsid w:val="0049318F"/>
    <w:rsid w:val="004F52CC"/>
    <w:rsid w:val="005351E3"/>
    <w:rsid w:val="005772C1"/>
    <w:rsid w:val="00595A73"/>
    <w:rsid w:val="005A07AD"/>
    <w:rsid w:val="005A1464"/>
    <w:rsid w:val="005E138D"/>
    <w:rsid w:val="005E3857"/>
    <w:rsid w:val="005F2201"/>
    <w:rsid w:val="00601635"/>
    <w:rsid w:val="00626EDA"/>
    <w:rsid w:val="006346DE"/>
    <w:rsid w:val="00685196"/>
    <w:rsid w:val="00690C9E"/>
    <w:rsid w:val="00693714"/>
    <w:rsid w:val="00694B1A"/>
    <w:rsid w:val="006A7C8E"/>
    <w:rsid w:val="006C2163"/>
    <w:rsid w:val="006C61A3"/>
    <w:rsid w:val="00732190"/>
    <w:rsid w:val="00756FDE"/>
    <w:rsid w:val="00787895"/>
    <w:rsid w:val="007D0AEF"/>
    <w:rsid w:val="008020CA"/>
    <w:rsid w:val="008335B7"/>
    <w:rsid w:val="00864A86"/>
    <w:rsid w:val="008B5A49"/>
    <w:rsid w:val="00905475"/>
    <w:rsid w:val="00956F28"/>
    <w:rsid w:val="00976A68"/>
    <w:rsid w:val="009C32DF"/>
    <w:rsid w:val="00A024B8"/>
    <w:rsid w:val="00A63B1F"/>
    <w:rsid w:val="00AA7927"/>
    <w:rsid w:val="00AD20D0"/>
    <w:rsid w:val="00B07720"/>
    <w:rsid w:val="00B84AC7"/>
    <w:rsid w:val="00C323A6"/>
    <w:rsid w:val="00C63097"/>
    <w:rsid w:val="00CA22D5"/>
    <w:rsid w:val="00CC130F"/>
    <w:rsid w:val="00CE7ABA"/>
    <w:rsid w:val="00CF351D"/>
    <w:rsid w:val="00D039FF"/>
    <w:rsid w:val="00D166B0"/>
    <w:rsid w:val="00D270CB"/>
    <w:rsid w:val="00D3284E"/>
    <w:rsid w:val="00D3465C"/>
    <w:rsid w:val="00D43BF1"/>
    <w:rsid w:val="00D44037"/>
    <w:rsid w:val="00D65AAB"/>
    <w:rsid w:val="00D660A6"/>
    <w:rsid w:val="00D74429"/>
    <w:rsid w:val="00DB5111"/>
    <w:rsid w:val="00DF6BBE"/>
    <w:rsid w:val="00E22A6E"/>
    <w:rsid w:val="00E5461E"/>
    <w:rsid w:val="00E86153"/>
    <w:rsid w:val="00EA771F"/>
    <w:rsid w:val="00EE6B2F"/>
    <w:rsid w:val="00EE74B4"/>
    <w:rsid w:val="00FB0D48"/>
    <w:rsid w:val="00FE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D2B83C"/>
  <w14:defaultImageDpi w14:val="300"/>
  <w15:docId w15:val="{C75184CB-A9EF-6247-84D9-413C5C42C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ill Sans" w:eastAsiaTheme="minorEastAsia" w:hAnsi="Gill Sans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772C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772C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024B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65A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7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5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27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6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5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92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5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8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8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7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5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7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8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2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8381CB-958D-D948-AC0E-219CE76F0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Inglis</dc:creator>
  <cp:keywords/>
  <dc:description/>
  <cp:lastModifiedBy>Blewbury Parish Council</cp:lastModifiedBy>
  <cp:revision>2</cp:revision>
  <dcterms:created xsi:type="dcterms:W3CDTF">2024-05-03T08:19:00Z</dcterms:created>
  <dcterms:modified xsi:type="dcterms:W3CDTF">2024-05-03T08:19:00Z</dcterms:modified>
</cp:coreProperties>
</file>