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page" w:tblpX="529" w:tblpY="2389"/>
        <w:tblW w:w="14312" w:type="dxa"/>
        <w:tblLook w:val="04A0" w:firstRow="1" w:lastRow="0" w:firstColumn="1" w:lastColumn="0" w:noHBand="0" w:noVBand="1"/>
      </w:tblPr>
      <w:tblGrid>
        <w:gridCol w:w="1522"/>
        <w:gridCol w:w="1308"/>
        <w:gridCol w:w="1268"/>
        <w:gridCol w:w="10214"/>
      </w:tblGrid>
      <w:tr w:rsidR="0078367C" w:rsidRPr="009048EB" w14:paraId="3C81FD6A" w14:textId="77777777" w:rsidTr="00804364">
        <w:tc>
          <w:tcPr>
            <w:tcW w:w="1522" w:type="dxa"/>
            <w:shd w:val="clear" w:color="auto" w:fill="D9D9D9" w:themeFill="background1" w:themeFillShade="D9"/>
          </w:tcPr>
          <w:p w14:paraId="221AFF03" w14:textId="77777777" w:rsidR="0078367C" w:rsidRPr="009048EB" w:rsidRDefault="0078367C" w:rsidP="00804364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14:paraId="3A062646" w14:textId="5EBE666F" w:rsidR="00A87490" w:rsidRDefault="00A87490" w:rsidP="008043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</w:t>
            </w:r>
            <w:r w:rsidR="00842C6D">
              <w:rPr>
                <w:b/>
                <w:sz w:val="24"/>
                <w:szCs w:val="24"/>
              </w:rPr>
              <w:t>2</w:t>
            </w:r>
          </w:p>
          <w:p w14:paraId="33E4EDFE" w14:textId="71142687" w:rsidR="0078367C" w:rsidRDefault="00B216D4" w:rsidP="008043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  <w:r w:rsidR="00A87490">
              <w:rPr>
                <w:b/>
                <w:sz w:val="24"/>
                <w:szCs w:val="24"/>
              </w:rPr>
              <w:t xml:space="preserve"> </w:t>
            </w:r>
            <w:r w:rsidR="0078367C">
              <w:rPr>
                <w:b/>
                <w:sz w:val="24"/>
                <w:szCs w:val="24"/>
              </w:rPr>
              <w:t xml:space="preserve"> </w:t>
            </w:r>
          </w:p>
          <w:p w14:paraId="39D68FF1" w14:textId="05F0441A" w:rsidR="0078367C" w:rsidRPr="009048EB" w:rsidRDefault="0078367C" w:rsidP="008043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</w:t>
            </w:r>
            <w:r w:rsidR="007D0F9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3.23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14:paraId="5E135360" w14:textId="77777777" w:rsidR="00A87490" w:rsidRDefault="00A87490" w:rsidP="008043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01.04.23 </w:t>
            </w:r>
          </w:p>
          <w:p w14:paraId="10C96E3A" w14:textId="18DF7336" w:rsidR="00A87490" w:rsidRDefault="00A87490" w:rsidP="008043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  <w:p w14:paraId="09C69720" w14:textId="26727A45" w:rsidR="0078367C" w:rsidRPr="009048EB" w:rsidRDefault="0078367C" w:rsidP="008043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31.03</w:t>
            </w:r>
            <w:r w:rsidR="007D0F95">
              <w:rPr>
                <w:b/>
                <w:sz w:val="24"/>
                <w:szCs w:val="24"/>
              </w:rPr>
              <w:t>.24</w:t>
            </w:r>
          </w:p>
        </w:tc>
        <w:tc>
          <w:tcPr>
            <w:tcW w:w="10214" w:type="dxa"/>
            <w:shd w:val="clear" w:color="auto" w:fill="D9D9D9" w:themeFill="background1" w:themeFillShade="D9"/>
          </w:tcPr>
          <w:p w14:paraId="5446D5B9" w14:textId="7F53952A" w:rsidR="0078367C" w:rsidRPr="007D0F95" w:rsidRDefault="0078367C" w:rsidP="00804364">
            <w:pPr>
              <w:jc w:val="center"/>
              <w:rPr>
                <w:b/>
                <w:sz w:val="32"/>
                <w:szCs w:val="32"/>
              </w:rPr>
            </w:pPr>
            <w:r w:rsidRPr="007D0F95">
              <w:rPr>
                <w:b/>
                <w:sz w:val="32"/>
                <w:szCs w:val="32"/>
              </w:rPr>
              <w:t>Notes for 2</w:t>
            </w:r>
            <w:r w:rsidR="007D0F95" w:rsidRPr="007D0F95">
              <w:rPr>
                <w:b/>
                <w:sz w:val="32"/>
                <w:szCs w:val="32"/>
              </w:rPr>
              <w:t>3</w:t>
            </w:r>
            <w:r w:rsidRPr="007D0F95">
              <w:rPr>
                <w:b/>
                <w:sz w:val="32"/>
                <w:szCs w:val="32"/>
              </w:rPr>
              <w:t>-2</w:t>
            </w:r>
            <w:r w:rsidR="007D0F95" w:rsidRPr="007D0F95">
              <w:rPr>
                <w:b/>
                <w:sz w:val="32"/>
                <w:szCs w:val="32"/>
              </w:rPr>
              <w:t>4</w:t>
            </w:r>
          </w:p>
        </w:tc>
      </w:tr>
      <w:tr w:rsidR="0078367C" w:rsidRPr="009048EB" w14:paraId="71966A71" w14:textId="0F7E99A0" w:rsidTr="00804364">
        <w:tc>
          <w:tcPr>
            <w:tcW w:w="1522" w:type="dxa"/>
          </w:tcPr>
          <w:p w14:paraId="1ACC6134" w14:textId="53CBC296" w:rsidR="0078367C" w:rsidRPr="009048EB" w:rsidRDefault="0078367C" w:rsidP="00804364">
            <w:pPr>
              <w:rPr>
                <w:b/>
                <w:bCs/>
                <w:sz w:val="24"/>
                <w:szCs w:val="24"/>
              </w:rPr>
            </w:pPr>
            <w:r w:rsidRPr="009048EB">
              <w:rPr>
                <w:b/>
                <w:bCs/>
                <w:sz w:val="24"/>
                <w:szCs w:val="24"/>
              </w:rPr>
              <w:t>Balance b/fwd</w:t>
            </w:r>
          </w:p>
        </w:tc>
        <w:tc>
          <w:tcPr>
            <w:tcW w:w="1308" w:type="dxa"/>
          </w:tcPr>
          <w:p w14:paraId="29EEE067" w14:textId="526495F2" w:rsidR="0078367C" w:rsidRPr="009048EB" w:rsidRDefault="00CF50A5" w:rsidP="008043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126,570</w:t>
            </w:r>
          </w:p>
        </w:tc>
        <w:tc>
          <w:tcPr>
            <w:tcW w:w="1268" w:type="dxa"/>
          </w:tcPr>
          <w:p w14:paraId="543462D6" w14:textId="1B5B46C9" w:rsidR="0078367C" w:rsidRPr="009048EB" w:rsidRDefault="00A21652" w:rsidP="008043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102,82</w:t>
            </w:r>
            <w:r w:rsidR="0065759E">
              <w:rPr>
                <w:sz w:val="24"/>
                <w:szCs w:val="24"/>
              </w:rPr>
              <w:t>6</w:t>
            </w:r>
          </w:p>
        </w:tc>
        <w:tc>
          <w:tcPr>
            <w:tcW w:w="10214" w:type="dxa"/>
          </w:tcPr>
          <w:p w14:paraId="7CDC1AF5" w14:textId="18D2F030" w:rsidR="0078367C" w:rsidRDefault="0078367C" w:rsidP="00804364">
            <w:pPr>
              <w:rPr>
                <w:sz w:val="24"/>
                <w:szCs w:val="24"/>
              </w:rPr>
            </w:pPr>
            <w:r w:rsidRPr="009048EB">
              <w:rPr>
                <w:sz w:val="24"/>
                <w:szCs w:val="24"/>
              </w:rPr>
              <w:t xml:space="preserve">This is the bank account balance at the </w:t>
            </w:r>
            <w:r w:rsidR="000E73B8">
              <w:rPr>
                <w:sz w:val="24"/>
                <w:szCs w:val="24"/>
              </w:rPr>
              <w:t>end</w:t>
            </w:r>
            <w:r w:rsidRPr="009048EB">
              <w:rPr>
                <w:sz w:val="24"/>
                <w:szCs w:val="24"/>
              </w:rPr>
              <w:t xml:space="preserve"> of the financial year</w:t>
            </w:r>
            <w:r w:rsidR="007B4265">
              <w:rPr>
                <w:sz w:val="24"/>
                <w:szCs w:val="24"/>
              </w:rPr>
              <w:t>, &amp; before the first half of the precept is received</w:t>
            </w:r>
            <w:r w:rsidR="00532596">
              <w:rPr>
                <w:sz w:val="24"/>
                <w:szCs w:val="24"/>
              </w:rPr>
              <w:t xml:space="preserve"> in April</w:t>
            </w:r>
            <w:r w:rsidRPr="009048EB">
              <w:rPr>
                <w:sz w:val="24"/>
                <w:szCs w:val="24"/>
              </w:rPr>
              <w:t>.</w:t>
            </w:r>
          </w:p>
          <w:p w14:paraId="06D84753" w14:textId="43570809" w:rsidR="0078367C" w:rsidRPr="009048EB" w:rsidRDefault="0078367C" w:rsidP="00804364">
            <w:pPr>
              <w:rPr>
                <w:sz w:val="24"/>
                <w:szCs w:val="24"/>
              </w:rPr>
            </w:pPr>
          </w:p>
        </w:tc>
      </w:tr>
      <w:tr w:rsidR="0078367C" w:rsidRPr="009048EB" w14:paraId="05A119C9" w14:textId="3234F779" w:rsidTr="00804364">
        <w:trPr>
          <w:trHeight w:val="337"/>
        </w:trPr>
        <w:tc>
          <w:tcPr>
            <w:tcW w:w="1522" w:type="dxa"/>
            <w:tcBorders>
              <w:bottom w:val="single" w:sz="4" w:space="0" w:color="auto"/>
            </w:tcBorders>
          </w:tcPr>
          <w:p w14:paraId="327E5289" w14:textId="77777777" w:rsidR="0078367C" w:rsidRPr="009048EB" w:rsidRDefault="0078367C" w:rsidP="00804364">
            <w:pPr>
              <w:rPr>
                <w:b/>
                <w:bCs/>
                <w:sz w:val="24"/>
                <w:szCs w:val="24"/>
              </w:rPr>
            </w:pPr>
            <w:r w:rsidRPr="009048EB">
              <w:rPr>
                <w:b/>
                <w:bCs/>
                <w:sz w:val="24"/>
                <w:szCs w:val="24"/>
              </w:rPr>
              <w:t>Precept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72EC2D47" w14:textId="15FCD155" w:rsidR="0078367C" w:rsidRPr="009048EB" w:rsidRDefault="0078367C" w:rsidP="008043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75,000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1A485DC8" w14:textId="4C32408B" w:rsidR="0078367C" w:rsidRPr="009048EB" w:rsidRDefault="00B216D4" w:rsidP="008043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85,000</w:t>
            </w:r>
          </w:p>
        </w:tc>
        <w:tc>
          <w:tcPr>
            <w:tcW w:w="10214" w:type="dxa"/>
            <w:tcBorders>
              <w:bottom w:val="single" w:sz="4" w:space="0" w:color="auto"/>
            </w:tcBorders>
          </w:tcPr>
          <w:p w14:paraId="4800AE14" w14:textId="37BCC3F6" w:rsidR="0078367C" w:rsidRDefault="0078367C" w:rsidP="00804364">
            <w:pPr>
              <w:rPr>
                <w:sz w:val="24"/>
                <w:szCs w:val="24"/>
              </w:rPr>
            </w:pPr>
            <w:r w:rsidRPr="009048EB">
              <w:rPr>
                <w:sz w:val="24"/>
                <w:szCs w:val="24"/>
              </w:rPr>
              <w:t>This is the amount of precept raised through council tax.</w:t>
            </w:r>
            <w:r w:rsidR="00B2660B">
              <w:rPr>
                <w:sz w:val="24"/>
                <w:szCs w:val="24"/>
              </w:rPr>
              <w:t xml:space="preserve"> This is paid in two instalments, in April &amp; September. </w:t>
            </w:r>
          </w:p>
          <w:p w14:paraId="350698E7" w14:textId="2303131B" w:rsidR="0078367C" w:rsidRPr="009048EB" w:rsidRDefault="0078367C" w:rsidP="00804364">
            <w:pPr>
              <w:rPr>
                <w:sz w:val="24"/>
                <w:szCs w:val="24"/>
              </w:rPr>
            </w:pPr>
          </w:p>
        </w:tc>
      </w:tr>
      <w:tr w:rsidR="0078367C" w:rsidRPr="009048EB" w14:paraId="7F608A95" w14:textId="34512CAF" w:rsidTr="00804364">
        <w:trPr>
          <w:trHeight w:val="687"/>
        </w:trPr>
        <w:tc>
          <w:tcPr>
            <w:tcW w:w="1522" w:type="dxa"/>
            <w:tcBorders>
              <w:bottom w:val="single" w:sz="18" w:space="0" w:color="auto"/>
            </w:tcBorders>
          </w:tcPr>
          <w:p w14:paraId="1066D537" w14:textId="77777777" w:rsidR="0078367C" w:rsidRPr="009048EB" w:rsidRDefault="0078367C" w:rsidP="00804364">
            <w:pPr>
              <w:rPr>
                <w:b/>
                <w:bCs/>
                <w:sz w:val="24"/>
                <w:szCs w:val="24"/>
              </w:rPr>
            </w:pPr>
            <w:r w:rsidRPr="009048EB">
              <w:rPr>
                <w:b/>
                <w:bCs/>
                <w:sz w:val="24"/>
                <w:szCs w:val="24"/>
              </w:rPr>
              <w:t>Other receipts</w:t>
            </w:r>
          </w:p>
        </w:tc>
        <w:tc>
          <w:tcPr>
            <w:tcW w:w="1308" w:type="dxa"/>
            <w:tcBorders>
              <w:bottom w:val="single" w:sz="18" w:space="0" w:color="auto"/>
            </w:tcBorders>
          </w:tcPr>
          <w:p w14:paraId="39E63CA1" w14:textId="2E44F864" w:rsidR="0078367C" w:rsidRPr="009048EB" w:rsidRDefault="00CF50A5" w:rsidP="008043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36,92</w:t>
            </w:r>
            <w:r w:rsidR="00CB0F36"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bottom w:val="single" w:sz="18" w:space="0" w:color="auto"/>
            </w:tcBorders>
          </w:tcPr>
          <w:p w14:paraId="6C335613" w14:textId="2D92EF78" w:rsidR="0078367C" w:rsidRPr="009048EB" w:rsidRDefault="00B216D4" w:rsidP="008043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100,130</w:t>
            </w:r>
          </w:p>
        </w:tc>
        <w:tc>
          <w:tcPr>
            <w:tcW w:w="10214" w:type="dxa"/>
            <w:tcBorders>
              <w:bottom w:val="single" w:sz="18" w:space="0" w:color="auto"/>
            </w:tcBorders>
          </w:tcPr>
          <w:p w14:paraId="232D05D2" w14:textId="5A8848BD" w:rsidR="0078367C" w:rsidRDefault="00934E93" w:rsidP="00804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While t</w:t>
            </w:r>
            <w:r w:rsidR="0078367C" w:rsidRPr="009048EB">
              <w:rPr>
                <w:sz w:val="24"/>
                <w:szCs w:val="24"/>
              </w:rPr>
              <w:t>his includes Clubhouse bookings income</w:t>
            </w:r>
            <w:r w:rsidR="00DF1DDE">
              <w:rPr>
                <w:sz w:val="24"/>
                <w:szCs w:val="24"/>
              </w:rPr>
              <w:t>,</w:t>
            </w:r>
            <w:r w:rsidR="0078367C" w:rsidRPr="009048EB">
              <w:rPr>
                <w:sz w:val="24"/>
                <w:szCs w:val="24"/>
              </w:rPr>
              <w:t xml:space="preserve"> Cemetery income</w:t>
            </w:r>
            <w:r w:rsidR="0078367C">
              <w:rPr>
                <w:sz w:val="24"/>
                <w:szCs w:val="24"/>
              </w:rPr>
              <w:t xml:space="preserve"> &amp; reclaimed VAT</w:t>
            </w:r>
            <w:r w:rsidR="00DF1DDE">
              <w:rPr>
                <w:sz w:val="24"/>
                <w:szCs w:val="24"/>
              </w:rPr>
              <w:t xml:space="preserve">, it is considerably higher than the previous year. This is due to the </w:t>
            </w:r>
            <w:r w:rsidR="00CD74EB">
              <w:rPr>
                <w:sz w:val="24"/>
                <w:szCs w:val="24"/>
              </w:rPr>
              <w:t>payments made</w:t>
            </w:r>
            <w:r w:rsidR="00CB2FCA">
              <w:rPr>
                <w:sz w:val="24"/>
                <w:szCs w:val="24"/>
              </w:rPr>
              <w:t xml:space="preserve"> to the Council</w:t>
            </w:r>
            <w:r w:rsidR="00CD74EB">
              <w:rPr>
                <w:sz w:val="24"/>
                <w:szCs w:val="24"/>
              </w:rPr>
              <w:t xml:space="preserve"> by</w:t>
            </w:r>
            <w:r w:rsidR="00CB2FCA">
              <w:rPr>
                <w:sz w:val="24"/>
                <w:szCs w:val="24"/>
              </w:rPr>
              <w:t xml:space="preserve"> </w:t>
            </w:r>
            <w:r w:rsidR="00CD74EB">
              <w:rPr>
                <w:sz w:val="24"/>
                <w:szCs w:val="24"/>
              </w:rPr>
              <w:t>the loss adjuster on the Clubhouse post flood remedial work</w:t>
            </w:r>
            <w:r w:rsidR="0078367C" w:rsidRPr="009048EB">
              <w:rPr>
                <w:sz w:val="24"/>
                <w:szCs w:val="24"/>
              </w:rPr>
              <w:t xml:space="preserve">. </w:t>
            </w:r>
          </w:p>
          <w:p w14:paraId="292BF318" w14:textId="5D2302BD" w:rsidR="0078367C" w:rsidRPr="009048EB" w:rsidRDefault="0078367C" w:rsidP="00804364">
            <w:pPr>
              <w:rPr>
                <w:sz w:val="24"/>
                <w:szCs w:val="24"/>
              </w:rPr>
            </w:pPr>
          </w:p>
        </w:tc>
      </w:tr>
      <w:tr w:rsidR="0078367C" w:rsidRPr="009048EB" w14:paraId="48C1BB44" w14:textId="77777777" w:rsidTr="00804364">
        <w:trPr>
          <w:trHeight w:val="687"/>
        </w:trPr>
        <w:tc>
          <w:tcPr>
            <w:tcW w:w="1522" w:type="dxa"/>
            <w:tcBorders>
              <w:top w:val="single" w:sz="18" w:space="0" w:color="auto"/>
            </w:tcBorders>
          </w:tcPr>
          <w:p w14:paraId="3FBBD81F" w14:textId="255280FA" w:rsidR="0078367C" w:rsidRPr="009048EB" w:rsidRDefault="0078367C" w:rsidP="00804364">
            <w:pPr>
              <w:rPr>
                <w:b/>
                <w:bCs/>
                <w:sz w:val="24"/>
                <w:szCs w:val="24"/>
              </w:rPr>
            </w:pPr>
            <w:r w:rsidRPr="009048EB">
              <w:rPr>
                <w:b/>
                <w:bCs/>
                <w:color w:val="000000" w:themeColor="text1"/>
                <w:sz w:val="24"/>
                <w:szCs w:val="24"/>
              </w:rPr>
              <w:t>Staff costs</w:t>
            </w:r>
          </w:p>
        </w:tc>
        <w:tc>
          <w:tcPr>
            <w:tcW w:w="1308" w:type="dxa"/>
            <w:tcBorders>
              <w:top w:val="single" w:sz="18" w:space="0" w:color="auto"/>
            </w:tcBorders>
          </w:tcPr>
          <w:p w14:paraId="142DEE40" w14:textId="335CBB7E" w:rsidR="0078367C" w:rsidRPr="009048EB" w:rsidRDefault="0078367C" w:rsidP="008043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26,695</w:t>
            </w:r>
          </w:p>
        </w:tc>
        <w:tc>
          <w:tcPr>
            <w:tcW w:w="1268" w:type="dxa"/>
            <w:tcBorders>
              <w:top w:val="single" w:sz="18" w:space="0" w:color="auto"/>
            </w:tcBorders>
          </w:tcPr>
          <w:p w14:paraId="480E64C7" w14:textId="0EDA656A" w:rsidR="0078367C" w:rsidRPr="009048EB" w:rsidRDefault="00B216D4" w:rsidP="008043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30,054</w:t>
            </w:r>
          </w:p>
        </w:tc>
        <w:tc>
          <w:tcPr>
            <w:tcW w:w="10214" w:type="dxa"/>
            <w:tcBorders>
              <w:top w:val="single" w:sz="18" w:space="0" w:color="auto"/>
            </w:tcBorders>
          </w:tcPr>
          <w:p w14:paraId="22BAEDAC" w14:textId="2732EF6C" w:rsidR="0078367C" w:rsidRDefault="0078367C" w:rsidP="00804364">
            <w:pPr>
              <w:rPr>
                <w:sz w:val="24"/>
                <w:szCs w:val="24"/>
              </w:rPr>
            </w:pPr>
            <w:r w:rsidRPr="009048EB">
              <w:rPr>
                <w:sz w:val="24"/>
                <w:szCs w:val="24"/>
              </w:rPr>
              <w:t xml:space="preserve">The Council </w:t>
            </w:r>
            <w:r>
              <w:rPr>
                <w:sz w:val="24"/>
                <w:szCs w:val="24"/>
              </w:rPr>
              <w:t>has</w:t>
            </w:r>
            <w:r w:rsidRPr="009048EB">
              <w:rPr>
                <w:sz w:val="24"/>
                <w:szCs w:val="24"/>
              </w:rPr>
              <w:t xml:space="preserve"> 3 members of staff</w:t>
            </w:r>
            <w:r w:rsidR="00332842">
              <w:rPr>
                <w:sz w:val="24"/>
                <w:szCs w:val="24"/>
              </w:rPr>
              <w:t>; the Clerk, Lengthman &amp; Hall Administrator</w:t>
            </w:r>
            <w:r w:rsidRPr="009048EB">
              <w:rPr>
                <w:sz w:val="24"/>
                <w:szCs w:val="24"/>
              </w:rPr>
              <w:t>.</w:t>
            </w:r>
          </w:p>
          <w:p w14:paraId="3EDD3EDF" w14:textId="1145181E" w:rsidR="0078367C" w:rsidRPr="009048EB" w:rsidRDefault="0078367C" w:rsidP="00804364">
            <w:pPr>
              <w:rPr>
                <w:sz w:val="24"/>
                <w:szCs w:val="24"/>
              </w:rPr>
            </w:pPr>
          </w:p>
        </w:tc>
      </w:tr>
      <w:tr w:rsidR="0078367C" w:rsidRPr="009048EB" w14:paraId="25A8EB88" w14:textId="16199811" w:rsidTr="00804364">
        <w:tc>
          <w:tcPr>
            <w:tcW w:w="1522" w:type="dxa"/>
            <w:tcBorders>
              <w:bottom w:val="single" w:sz="8" w:space="0" w:color="auto"/>
            </w:tcBorders>
          </w:tcPr>
          <w:p w14:paraId="35B17CA0" w14:textId="77777777" w:rsidR="0078367C" w:rsidRPr="009048EB" w:rsidRDefault="0078367C" w:rsidP="00804364">
            <w:pPr>
              <w:rPr>
                <w:b/>
                <w:bCs/>
                <w:sz w:val="24"/>
                <w:szCs w:val="24"/>
              </w:rPr>
            </w:pPr>
            <w:r w:rsidRPr="009048EB">
              <w:rPr>
                <w:b/>
                <w:bCs/>
                <w:sz w:val="24"/>
                <w:szCs w:val="24"/>
              </w:rPr>
              <w:t>Other payments</w:t>
            </w:r>
          </w:p>
        </w:tc>
        <w:tc>
          <w:tcPr>
            <w:tcW w:w="1308" w:type="dxa"/>
            <w:tcBorders>
              <w:bottom w:val="single" w:sz="8" w:space="0" w:color="auto"/>
            </w:tcBorders>
          </w:tcPr>
          <w:p w14:paraId="35E2C64B" w14:textId="43C7E8A0" w:rsidR="0078367C" w:rsidRPr="009048EB" w:rsidRDefault="004B408D" w:rsidP="008043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93,491</w:t>
            </w:r>
          </w:p>
        </w:tc>
        <w:tc>
          <w:tcPr>
            <w:tcW w:w="1268" w:type="dxa"/>
            <w:tcBorders>
              <w:bottom w:val="single" w:sz="8" w:space="0" w:color="auto"/>
            </w:tcBorders>
          </w:tcPr>
          <w:p w14:paraId="58F07CE4" w14:textId="663A48FA" w:rsidR="0078367C" w:rsidRPr="009048EB" w:rsidRDefault="00F75041" w:rsidP="008043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162,597</w:t>
            </w:r>
          </w:p>
        </w:tc>
        <w:tc>
          <w:tcPr>
            <w:tcW w:w="10214" w:type="dxa"/>
            <w:tcBorders>
              <w:bottom w:val="single" w:sz="8" w:space="0" w:color="auto"/>
            </w:tcBorders>
          </w:tcPr>
          <w:p w14:paraId="6890EEB0" w14:textId="291A8F92" w:rsidR="0078367C" w:rsidRPr="009048EB" w:rsidRDefault="0078367C" w:rsidP="00804364">
            <w:pPr>
              <w:rPr>
                <w:sz w:val="24"/>
                <w:szCs w:val="24"/>
              </w:rPr>
            </w:pPr>
            <w:r w:rsidRPr="009048EB">
              <w:rPr>
                <w:sz w:val="24"/>
                <w:szCs w:val="24"/>
              </w:rPr>
              <w:t xml:space="preserve">This </w:t>
            </w:r>
            <w:r w:rsidR="00CB2FCA">
              <w:rPr>
                <w:sz w:val="24"/>
                <w:szCs w:val="24"/>
              </w:rPr>
              <w:t>figure is considerably higher than the previous year</w:t>
            </w:r>
            <w:r w:rsidR="00B24DCD">
              <w:rPr>
                <w:sz w:val="24"/>
                <w:szCs w:val="24"/>
              </w:rPr>
              <w:t>. This is due to payments made by the Council during the Clubhouse post flood remedial work</w:t>
            </w:r>
            <w:r w:rsidR="00EE0DE4">
              <w:rPr>
                <w:sz w:val="24"/>
                <w:szCs w:val="24"/>
              </w:rPr>
              <w:t xml:space="preserve">. It also includes the Council’s insurance payment, which rose by </w:t>
            </w:r>
            <w:r w:rsidR="007211F4">
              <w:rPr>
                <w:sz w:val="24"/>
                <w:szCs w:val="24"/>
              </w:rPr>
              <w:t>over 300%</w:t>
            </w:r>
            <w:r w:rsidR="00C46F4B">
              <w:rPr>
                <w:sz w:val="24"/>
                <w:szCs w:val="24"/>
              </w:rPr>
              <w:t xml:space="preserve"> (c£7000 to c£30,000)</w:t>
            </w:r>
            <w:r w:rsidR="00E274EE">
              <w:rPr>
                <w:sz w:val="24"/>
                <w:szCs w:val="24"/>
              </w:rPr>
              <w:t xml:space="preserve">, due to there being two </w:t>
            </w:r>
            <w:r w:rsidR="00532596">
              <w:rPr>
                <w:sz w:val="24"/>
                <w:szCs w:val="24"/>
              </w:rPr>
              <w:t xml:space="preserve">floods in the </w:t>
            </w:r>
            <w:r w:rsidR="00E274EE">
              <w:rPr>
                <w:sz w:val="24"/>
                <w:szCs w:val="24"/>
              </w:rPr>
              <w:t>Clubhouse within a two-year period.</w:t>
            </w:r>
          </w:p>
          <w:p w14:paraId="6EEB8E6D" w14:textId="783CB0DA" w:rsidR="0078367C" w:rsidRPr="009048EB" w:rsidRDefault="0078367C" w:rsidP="00804364">
            <w:pPr>
              <w:rPr>
                <w:sz w:val="24"/>
                <w:szCs w:val="24"/>
              </w:rPr>
            </w:pPr>
          </w:p>
        </w:tc>
      </w:tr>
      <w:tr w:rsidR="0078367C" w:rsidRPr="009048EB" w14:paraId="6BCF5EF7" w14:textId="5DC3EC06" w:rsidTr="00804364"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7EB6C1D" w14:textId="7511801D" w:rsidR="0078367C" w:rsidRPr="009048EB" w:rsidRDefault="0078367C" w:rsidP="0080436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048EB">
              <w:rPr>
                <w:b/>
                <w:bCs/>
                <w:color w:val="000000" w:themeColor="text1"/>
                <w:sz w:val="24"/>
                <w:szCs w:val="24"/>
              </w:rPr>
              <w:t>Loan Repayments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9FE4D46" w14:textId="131D69A0" w:rsidR="0078367C" w:rsidRPr="009048EB" w:rsidRDefault="0020534E" w:rsidP="008043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15,479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70111E5" w14:textId="7998C5EA" w:rsidR="0078367C" w:rsidRPr="009048EB" w:rsidRDefault="00F75041" w:rsidP="008043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15,15</w:t>
            </w:r>
            <w:r w:rsidR="0020534E">
              <w:rPr>
                <w:sz w:val="24"/>
                <w:szCs w:val="24"/>
              </w:rPr>
              <w:t>4</w:t>
            </w:r>
          </w:p>
        </w:tc>
        <w:tc>
          <w:tcPr>
            <w:tcW w:w="1021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04288E8" w14:textId="5DC3D288" w:rsidR="0078367C" w:rsidRPr="009048EB" w:rsidRDefault="0078367C" w:rsidP="00804364">
            <w:pPr>
              <w:rPr>
                <w:sz w:val="24"/>
                <w:szCs w:val="24"/>
              </w:rPr>
            </w:pPr>
            <w:r w:rsidRPr="009048EB">
              <w:rPr>
                <w:sz w:val="24"/>
                <w:szCs w:val="24"/>
              </w:rPr>
              <w:t>Capital payment on Public Works loans for the Clubhouse</w:t>
            </w:r>
            <w:r w:rsidR="00815FD3">
              <w:rPr>
                <w:sz w:val="24"/>
                <w:szCs w:val="24"/>
              </w:rPr>
              <w:t xml:space="preserve"> rebuild </w:t>
            </w:r>
            <w:r w:rsidR="00DF4644">
              <w:rPr>
                <w:sz w:val="24"/>
                <w:szCs w:val="24"/>
              </w:rPr>
              <w:t>(c20</w:t>
            </w:r>
            <w:r w:rsidR="002B1422">
              <w:rPr>
                <w:sz w:val="24"/>
                <w:szCs w:val="24"/>
              </w:rPr>
              <w:t>12)</w:t>
            </w:r>
            <w:r w:rsidRPr="009048EB">
              <w:rPr>
                <w:sz w:val="24"/>
                <w:szCs w:val="24"/>
              </w:rPr>
              <w:t xml:space="preserve"> &amp; the</w:t>
            </w:r>
            <w:r w:rsidR="002B1422">
              <w:rPr>
                <w:sz w:val="24"/>
                <w:szCs w:val="24"/>
              </w:rPr>
              <w:t xml:space="preserve"> more recent</w:t>
            </w:r>
            <w:r w:rsidRPr="009048EB">
              <w:rPr>
                <w:sz w:val="24"/>
                <w:szCs w:val="24"/>
              </w:rPr>
              <w:t xml:space="preserve"> Village Hall refurbishment.</w:t>
            </w:r>
          </w:p>
        </w:tc>
      </w:tr>
      <w:tr w:rsidR="0078367C" w:rsidRPr="009048EB" w14:paraId="3932F633" w14:textId="538B073E" w:rsidTr="00804364">
        <w:trPr>
          <w:trHeight w:val="274"/>
        </w:trPr>
        <w:tc>
          <w:tcPr>
            <w:tcW w:w="152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0796D" w14:textId="77777777" w:rsidR="0078367C" w:rsidRPr="009048EB" w:rsidRDefault="0078367C" w:rsidP="00804364">
            <w:pPr>
              <w:rPr>
                <w:b/>
                <w:bCs/>
                <w:sz w:val="24"/>
                <w:szCs w:val="24"/>
              </w:rPr>
            </w:pPr>
            <w:r w:rsidRPr="009048EB">
              <w:rPr>
                <w:b/>
                <w:bCs/>
                <w:sz w:val="24"/>
                <w:szCs w:val="24"/>
              </w:rPr>
              <w:t>Fixed assets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BBCA8" w14:textId="7C5050F1" w:rsidR="0078367C" w:rsidRPr="009048EB" w:rsidRDefault="00C01284" w:rsidP="008043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1,098,881</w:t>
            </w:r>
          </w:p>
        </w:tc>
        <w:tc>
          <w:tcPr>
            <w:tcW w:w="126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8CA5C" w14:textId="61F39CBD" w:rsidR="0078367C" w:rsidRPr="009048EB" w:rsidRDefault="00C01284" w:rsidP="008043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1,098,881</w:t>
            </w:r>
          </w:p>
        </w:tc>
        <w:tc>
          <w:tcPr>
            <w:tcW w:w="1021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E0F6F" w14:textId="69852627" w:rsidR="0078367C" w:rsidRPr="009048EB" w:rsidRDefault="0078367C" w:rsidP="00804364">
            <w:pPr>
              <w:rPr>
                <w:sz w:val="24"/>
                <w:szCs w:val="24"/>
              </w:rPr>
            </w:pPr>
            <w:r w:rsidRPr="009048EB">
              <w:rPr>
                <w:sz w:val="24"/>
                <w:szCs w:val="24"/>
              </w:rPr>
              <w:t xml:space="preserve">Fixed assets </w:t>
            </w:r>
            <w:r w:rsidR="000164C6" w:rsidRPr="009048EB">
              <w:rPr>
                <w:sz w:val="24"/>
                <w:szCs w:val="24"/>
              </w:rPr>
              <w:t>include: -</w:t>
            </w:r>
            <w:r w:rsidRPr="009048EB">
              <w:rPr>
                <w:sz w:val="24"/>
                <w:szCs w:val="24"/>
              </w:rPr>
              <w:t xml:space="preserve"> </w:t>
            </w:r>
          </w:p>
          <w:p w14:paraId="17A1C2FF" w14:textId="60557388" w:rsidR="0078367C" w:rsidRPr="009048EB" w:rsidRDefault="0078367C" w:rsidP="00804364">
            <w:pPr>
              <w:rPr>
                <w:sz w:val="24"/>
                <w:szCs w:val="24"/>
              </w:rPr>
            </w:pPr>
            <w:r w:rsidRPr="009048EB">
              <w:rPr>
                <w:sz w:val="24"/>
                <w:szCs w:val="24"/>
              </w:rPr>
              <w:t>Village Hall, Clubhouse, Scout Hut, Steel Garage, Tennis Clubhouse, Croquet Hut &amp; lawns.</w:t>
            </w:r>
          </w:p>
        </w:tc>
      </w:tr>
      <w:tr w:rsidR="0078367C" w:rsidRPr="009048EB" w14:paraId="0CBF903F" w14:textId="77777777" w:rsidTr="00804364">
        <w:trPr>
          <w:trHeight w:val="274"/>
        </w:trPr>
        <w:tc>
          <w:tcPr>
            <w:tcW w:w="1522" w:type="dxa"/>
            <w:tcBorders>
              <w:top w:val="single" w:sz="8" w:space="0" w:color="auto"/>
            </w:tcBorders>
          </w:tcPr>
          <w:p w14:paraId="629A7181" w14:textId="1DCAC9F9" w:rsidR="0078367C" w:rsidRPr="009048EB" w:rsidRDefault="0078367C" w:rsidP="00804364">
            <w:pPr>
              <w:rPr>
                <w:b/>
                <w:bCs/>
                <w:sz w:val="24"/>
                <w:szCs w:val="24"/>
              </w:rPr>
            </w:pPr>
            <w:r w:rsidRPr="009048EB">
              <w:rPr>
                <w:b/>
                <w:bCs/>
                <w:sz w:val="24"/>
                <w:szCs w:val="24"/>
              </w:rPr>
              <w:lastRenderedPageBreak/>
              <w:t>End of year balance</w:t>
            </w:r>
          </w:p>
        </w:tc>
        <w:tc>
          <w:tcPr>
            <w:tcW w:w="1308" w:type="dxa"/>
            <w:tcBorders>
              <w:top w:val="single" w:sz="8" w:space="0" w:color="auto"/>
            </w:tcBorders>
          </w:tcPr>
          <w:p w14:paraId="762644D7" w14:textId="5897A993" w:rsidR="0078367C" w:rsidRPr="009048EB" w:rsidRDefault="00124EBB" w:rsidP="008043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100,319</w:t>
            </w:r>
          </w:p>
        </w:tc>
        <w:tc>
          <w:tcPr>
            <w:tcW w:w="1268" w:type="dxa"/>
            <w:tcBorders>
              <w:top w:val="single" w:sz="8" w:space="0" w:color="auto"/>
            </w:tcBorders>
          </w:tcPr>
          <w:p w14:paraId="3F453209" w14:textId="77777777" w:rsidR="0078367C" w:rsidRDefault="00F262C7" w:rsidP="008043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54,684</w:t>
            </w:r>
          </w:p>
          <w:p w14:paraId="6136BB91" w14:textId="0A328861" w:rsidR="00964961" w:rsidRPr="009048EB" w:rsidRDefault="00964961" w:rsidP="0080436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214" w:type="dxa"/>
            <w:tcBorders>
              <w:top w:val="single" w:sz="8" w:space="0" w:color="auto"/>
            </w:tcBorders>
          </w:tcPr>
          <w:p w14:paraId="4A0A6B34" w14:textId="3604E9B5" w:rsidR="0078367C" w:rsidRPr="009048EB" w:rsidRDefault="0078367C" w:rsidP="00804364">
            <w:pPr>
              <w:rPr>
                <w:sz w:val="24"/>
                <w:szCs w:val="24"/>
              </w:rPr>
            </w:pPr>
            <w:r w:rsidRPr="009048EB">
              <w:rPr>
                <w:sz w:val="24"/>
                <w:szCs w:val="24"/>
              </w:rPr>
              <w:t>This balance includes £</w:t>
            </w:r>
            <w:r w:rsidR="00534CBB">
              <w:rPr>
                <w:sz w:val="24"/>
                <w:szCs w:val="24"/>
              </w:rPr>
              <w:t>16,594</w:t>
            </w:r>
            <w:r w:rsidRPr="009048EB">
              <w:rPr>
                <w:sz w:val="24"/>
                <w:szCs w:val="24"/>
              </w:rPr>
              <w:t xml:space="preserve"> of village hall refurb funds</w:t>
            </w:r>
            <w:r w:rsidR="00EC2C63">
              <w:rPr>
                <w:sz w:val="24"/>
                <w:szCs w:val="24"/>
              </w:rPr>
              <w:t xml:space="preserve"> &amp; a £5000 grant to provide an EV charger at the village hall</w:t>
            </w:r>
            <w:r w:rsidRPr="009048EB">
              <w:rPr>
                <w:sz w:val="24"/>
                <w:szCs w:val="24"/>
              </w:rPr>
              <w:t>. Th</w:t>
            </w:r>
            <w:r w:rsidR="00E56508">
              <w:rPr>
                <w:sz w:val="24"/>
                <w:szCs w:val="24"/>
              </w:rPr>
              <w:t>is</w:t>
            </w:r>
            <w:r w:rsidRPr="009048EB">
              <w:rPr>
                <w:sz w:val="24"/>
                <w:szCs w:val="24"/>
              </w:rPr>
              <w:t xml:space="preserve"> </w:t>
            </w:r>
            <w:r w:rsidR="008E7DCB">
              <w:rPr>
                <w:sz w:val="24"/>
                <w:szCs w:val="24"/>
              </w:rPr>
              <w:t>gave a net</w:t>
            </w:r>
            <w:r w:rsidRPr="009048EB">
              <w:rPr>
                <w:sz w:val="24"/>
                <w:szCs w:val="24"/>
              </w:rPr>
              <w:t xml:space="preserve"> balance for the Council is £</w:t>
            </w:r>
            <w:r w:rsidR="008E7DCB">
              <w:rPr>
                <w:sz w:val="24"/>
                <w:szCs w:val="24"/>
              </w:rPr>
              <w:t>33,090</w:t>
            </w:r>
            <w:r w:rsidRPr="009048EB">
              <w:rPr>
                <w:sz w:val="24"/>
                <w:szCs w:val="24"/>
              </w:rPr>
              <w:t xml:space="preserve">, </w:t>
            </w:r>
            <w:r w:rsidR="00220CB9">
              <w:rPr>
                <w:sz w:val="24"/>
                <w:szCs w:val="24"/>
              </w:rPr>
              <w:t xml:space="preserve">which is </w:t>
            </w:r>
            <w:r w:rsidR="009B0C2D">
              <w:rPr>
                <w:sz w:val="24"/>
                <w:szCs w:val="24"/>
              </w:rPr>
              <w:t>lower than usual</w:t>
            </w:r>
            <w:r w:rsidR="00AC338F">
              <w:rPr>
                <w:sz w:val="24"/>
                <w:szCs w:val="24"/>
              </w:rPr>
              <w:t xml:space="preserve"> </w:t>
            </w:r>
            <w:r w:rsidR="000164C6" w:rsidRPr="009048EB">
              <w:rPr>
                <w:sz w:val="24"/>
                <w:szCs w:val="24"/>
              </w:rPr>
              <w:t xml:space="preserve">position </w:t>
            </w:r>
            <w:r w:rsidR="000164C6">
              <w:rPr>
                <w:sz w:val="24"/>
                <w:szCs w:val="24"/>
              </w:rPr>
              <w:t>on</w:t>
            </w:r>
            <w:r w:rsidR="009B0C2D">
              <w:rPr>
                <w:sz w:val="24"/>
                <w:szCs w:val="24"/>
              </w:rPr>
              <w:t xml:space="preserve"> which to end the year</w:t>
            </w:r>
            <w:r w:rsidR="009B0C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 the Parish Council.</w:t>
            </w:r>
          </w:p>
        </w:tc>
      </w:tr>
    </w:tbl>
    <w:p w14:paraId="5393AC68" w14:textId="46AD2F7B" w:rsidR="00981DFE" w:rsidRPr="0028632B" w:rsidRDefault="00981DFE" w:rsidP="009048EB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81DFE" w:rsidRPr="0028632B" w:rsidSect="006F027F">
      <w:headerReference w:type="default" r:id="rId6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6A598" w14:textId="77777777" w:rsidR="006F027F" w:rsidRDefault="006F027F" w:rsidP="009048EB">
      <w:pPr>
        <w:spacing w:after="0" w:line="240" w:lineRule="auto"/>
      </w:pPr>
      <w:r>
        <w:separator/>
      </w:r>
    </w:p>
  </w:endnote>
  <w:endnote w:type="continuationSeparator" w:id="0">
    <w:p w14:paraId="729B1D22" w14:textId="77777777" w:rsidR="006F027F" w:rsidRDefault="006F027F" w:rsidP="0090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2B5F0" w14:textId="77777777" w:rsidR="006F027F" w:rsidRDefault="006F027F" w:rsidP="009048EB">
      <w:pPr>
        <w:spacing w:after="0" w:line="240" w:lineRule="auto"/>
      </w:pPr>
      <w:r>
        <w:separator/>
      </w:r>
    </w:p>
  </w:footnote>
  <w:footnote w:type="continuationSeparator" w:id="0">
    <w:p w14:paraId="0BC7A117" w14:textId="77777777" w:rsidR="006F027F" w:rsidRDefault="006F027F" w:rsidP="00904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5A20A" w14:textId="77777777" w:rsidR="00F42A7D" w:rsidRPr="000964A1" w:rsidRDefault="00F42A7D" w:rsidP="00F42A7D">
    <w:pPr>
      <w:rPr>
        <w:b/>
        <w:bCs/>
        <w:sz w:val="40"/>
        <w:szCs w:val="40"/>
      </w:rPr>
    </w:pPr>
    <w:r w:rsidRPr="000964A1">
      <w:rPr>
        <w:b/>
        <w:bCs/>
        <w:sz w:val="40"/>
        <w:szCs w:val="40"/>
      </w:rPr>
      <w:t>BLEWBURY PARISH COUNCIL FINANCE REPORT 2023-24</w:t>
    </w:r>
  </w:p>
  <w:p w14:paraId="5A5CA94F" w14:textId="77777777" w:rsidR="00F42A7D" w:rsidRDefault="00F42A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3B"/>
    <w:rsid w:val="000164C6"/>
    <w:rsid w:val="0004706E"/>
    <w:rsid w:val="00047571"/>
    <w:rsid w:val="000713F9"/>
    <w:rsid w:val="000964A1"/>
    <w:rsid w:val="000C3207"/>
    <w:rsid w:val="000E73B8"/>
    <w:rsid w:val="00124EBB"/>
    <w:rsid w:val="00147135"/>
    <w:rsid w:val="00177ED0"/>
    <w:rsid w:val="0020534E"/>
    <w:rsid w:val="00220CB9"/>
    <w:rsid w:val="002437B8"/>
    <w:rsid w:val="00264F82"/>
    <w:rsid w:val="0028632B"/>
    <w:rsid w:val="002B1422"/>
    <w:rsid w:val="003168C4"/>
    <w:rsid w:val="003225B2"/>
    <w:rsid w:val="00332842"/>
    <w:rsid w:val="0034320D"/>
    <w:rsid w:val="003749CA"/>
    <w:rsid w:val="004B408D"/>
    <w:rsid w:val="004C6928"/>
    <w:rsid w:val="004F47F0"/>
    <w:rsid w:val="00532596"/>
    <w:rsid w:val="00534CBB"/>
    <w:rsid w:val="00535CF1"/>
    <w:rsid w:val="005457FF"/>
    <w:rsid w:val="0055597D"/>
    <w:rsid w:val="0065759E"/>
    <w:rsid w:val="006B1808"/>
    <w:rsid w:val="006F027F"/>
    <w:rsid w:val="007211F4"/>
    <w:rsid w:val="007477FB"/>
    <w:rsid w:val="0078367C"/>
    <w:rsid w:val="007B4265"/>
    <w:rsid w:val="007D0F95"/>
    <w:rsid w:val="00804364"/>
    <w:rsid w:val="00815FD3"/>
    <w:rsid w:val="00842C6D"/>
    <w:rsid w:val="008658EF"/>
    <w:rsid w:val="008A6C7C"/>
    <w:rsid w:val="008E7DCB"/>
    <w:rsid w:val="009048EB"/>
    <w:rsid w:val="00906489"/>
    <w:rsid w:val="00926975"/>
    <w:rsid w:val="00934E93"/>
    <w:rsid w:val="00947C42"/>
    <w:rsid w:val="00964961"/>
    <w:rsid w:val="00981DFE"/>
    <w:rsid w:val="009B0C2D"/>
    <w:rsid w:val="009D5B15"/>
    <w:rsid w:val="00A21652"/>
    <w:rsid w:val="00A421EE"/>
    <w:rsid w:val="00A553C1"/>
    <w:rsid w:val="00A87490"/>
    <w:rsid w:val="00AC338F"/>
    <w:rsid w:val="00AF643B"/>
    <w:rsid w:val="00B216D4"/>
    <w:rsid w:val="00B24DCD"/>
    <w:rsid w:val="00B2660B"/>
    <w:rsid w:val="00C01284"/>
    <w:rsid w:val="00C46F4B"/>
    <w:rsid w:val="00C93BA6"/>
    <w:rsid w:val="00CB0F36"/>
    <w:rsid w:val="00CB2FCA"/>
    <w:rsid w:val="00CD74EB"/>
    <w:rsid w:val="00CF50A5"/>
    <w:rsid w:val="00D2681D"/>
    <w:rsid w:val="00D36216"/>
    <w:rsid w:val="00D56931"/>
    <w:rsid w:val="00D602D0"/>
    <w:rsid w:val="00DF1DDE"/>
    <w:rsid w:val="00DF4644"/>
    <w:rsid w:val="00E17FC8"/>
    <w:rsid w:val="00E274EE"/>
    <w:rsid w:val="00E56508"/>
    <w:rsid w:val="00EB5397"/>
    <w:rsid w:val="00EC2C63"/>
    <w:rsid w:val="00EE0DE4"/>
    <w:rsid w:val="00F262C7"/>
    <w:rsid w:val="00F42A7D"/>
    <w:rsid w:val="00F75041"/>
    <w:rsid w:val="00FC6F1B"/>
    <w:rsid w:val="00FD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C92A3"/>
  <w15:chartTrackingRefBased/>
  <w15:docId w15:val="{0EB2076D-8A22-4CEC-8FC5-9AF176D4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4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8EB"/>
  </w:style>
  <w:style w:type="paragraph" w:styleId="Footer">
    <w:name w:val="footer"/>
    <w:basedOn w:val="Normal"/>
    <w:link w:val="FooterChar"/>
    <w:uiPriority w:val="99"/>
    <w:unhideWhenUsed/>
    <w:rsid w:val="00904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8EB"/>
  </w:style>
  <w:style w:type="character" w:styleId="CommentReference">
    <w:name w:val="annotation reference"/>
    <w:basedOn w:val="DefaultParagraphFont"/>
    <w:uiPriority w:val="99"/>
    <w:semiHidden/>
    <w:unhideWhenUsed/>
    <w:rsid w:val="00FC6F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F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F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F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F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Blewbury Parish Council</dc:creator>
  <cp:keywords/>
  <dc:description/>
  <cp:lastModifiedBy>Blewbury Parish Council</cp:lastModifiedBy>
  <cp:revision>62</cp:revision>
  <cp:lastPrinted>2024-05-14T08:42:00Z</cp:lastPrinted>
  <dcterms:created xsi:type="dcterms:W3CDTF">2022-04-21T13:59:00Z</dcterms:created>
  <dcterms:modified xsi:type="dcterms:W3CDTF">2024-05-14T08:42:00Z</dcterms:modified>
</cp:coreProperties>
</file>